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9fc5" w14:textId="7ff9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 Қазақстан Республикасы Қаржы министрінің 2025 жылғы 6 қазандағы № 579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2026 жылғы 26 наурыздағы № 202 бұйрығы. Қазақстан Республикасының Әділет министрлігінде 2026 жылғы 30 наурызда № 38229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 Қазақстан Республикасы Қаржы министрiнiң 2025 жылғы 6 қазандағы № 579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37079 нөмірімен тіркелген) күшi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Қаржы министрлігінің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кейін он жұмыс күні ішінде осы тармақтың 1) және 2) тармақшасында көзделген іс-шаралардың орындалуы жөніндегі мәліметтерді Қазақстан Республикасы Қаржы министрлігінің Заң қызметі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