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80e8" w14:textId="b5d8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6 наурыздағы № 86 бұйрығы. Қазақстан Республикасының Әділет министрлігінде 2026 жылғы 17 наурызда № 38169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6 наурыздағы № 86</w:t>
            </w:r>
            <w:r>
              <w:br/>
            </w: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 Қазақстан Республикасы Индустрия және инфрақұрылымдық даму министрінің міндетін атқарушының 2022 жылғы 29 қарашадағы № 663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30790 болып тіркелген).</w:t>
      </w:r>
    </w:p>
    <w:bookmarkEnd w:id="8"/>
    <w:bookmarkStart w:name="z15" w:id="9"/>
    <w:p>
      <w:pPr>
        <w:spacing w:after="0"/>
        <w:ind w:left="0"/>
        <w:jc w:val="both"/>
      </w:pPr>
      <w:r>
        <w:rPr>
          <w:rFonts w:ascii="Times New Roman"/>
          <w:b w:val="false"/>
          <w:i w:val="false"/>
          <w:color w:val="000000"/>
          <w:sz w:val="28"/>
        </w:rPr>
        <w:t xml:space="preserve">
      2. "Жылына елу мың және одан да көп тонна шартты отынға барабар көлемде энергетикалық ресурстарды тұтынатын Мемлекеттік энергетикалық тізілім субъектілері үшін энергия тиімділігі бойынша нысаналы индикаторларды белгілеу туралы" Қазақстан Республикасы Индустрия және инфрақұрылымдық даму министрінің міндетін атқарушының 2022 жылғы 29 қарашадағы № 663 бұйрығына өзгерістер енгізу туралы" Қазақстан Республикасы Өнеркәсіп және құрылыс министрінің міндетін атқарушының 2024 жылғы 10 қыркүйектегі № 322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35067 болып тіркелген).</w:t>
      </w:r>
    </w:p>
    <w:bookmarkEnd w:id="9"/>
    <w:bookmarkStart w:name="z16" w:id="10"/>
    <w:p>
      <w:pPr>
        <w:spacing w:after="0"/>
        <w:ind w:left="0"/>
        <w:jc w:val="both"/>
      </w:pPr>
      <w:r>
        <w:rPr>
          <w:rFonts w:ascii="Times New Roman"/>
          <w:b w:val="false"/>
          <w:i w:val="false"/>
          <w:color w:val="000000"/>
          <w:sz w:val="28"/>
        </w:rPr>
        <w:t xml:space="preserve">
      3. "Жылу энергиясын тұтыну нормаларын бекіту туралы" Қазақстан Республикасы Өнеркәсіп және құрылыс министрінің 2024 жылғы 21 қазандағы № 369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35286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