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aab8" w14:textId="903a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11 наурыздағы № 17 қаулысы. Қазақстан Республикасының Әділет министрлігінде 2026 жылғы 16 наурызда № 38153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Басқармасы ҚАУЛЫ ЕТЕДІ: </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болып тіркелген)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"Қазақстан Республикасының Ұлттық қорын сенімгерлік басқарудың тиімділігін қамтамасыз ету мақсатында, сондай-ақ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төртінші абзацының </w:t>
      </w:r>
      <w:r>
        <w:rPr>
          <w:rFonts w:ascii="Times New Roman"/>
          <w:b w:val="false"/>
          <w:i w:val="false"/>
          <w:color w:val="000000"/>
          <w:sz w:val="28"/>
        </w:rPr>
        <w:t>17) тармақшасына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қаулысына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Қағидалар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төртінші абзацының </w:t>
      </w:r>
      <w:r>
        <w:rPr>
          <w:rFonts w:ascii="Times New Roman"/>
          <w:b w:val="false"/>
          <w:i w:val="false"/>
          <w:color w:val="000000"/>
          <w:sz w:val="28"/>
        </w:rPr>
        <w:t>17) тармақшасына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 </w:t>
      </w:r>
    </w:p>
    <w:bookmarkStart w:name="z12" w:id="5"/>
    <w:p>
      <w:pPr>
        <w:spacing w:after="0"/>
        <w:ind w:left="0"/>
        <w:jc w:val="both"/>
      </w:pPr>
      <w:r>
        <w:rPr>
          <w:rFonts w:ascii="Times New Roman"/>
          <w:b w:val="false"/>
          <w:i w:val="false"/>
          <w:color w:val="000000"/>
          <w:sz w:val="28"/>
        </w:rPr>
        <w:t xml:space="preserve">
      "32. Қордың активтері инвестицияланатын қаржы құралдары Қазақстан Республикасының Ұлттық қорын басқару жөніндегі кеңестің ұсынысы бойынша Қазақстан Республикасының Үкіметі Ұлттық Банкпен бірлесіп айқындайтын Материалдық емес активтерді қоспағанда, рұқсат берілген қаржы құралдарының және олармен жасалатын мәмілелердің тізбесінде бекітіледі.";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35-2-тармақ</w:t>
      </w:r>
      <w:r>
        <w:rPr>
          <w:rFonts w:ascii="Times New Roman"/>
          <w:b w:val="false"/>
          <w:i w:val="false"/>
          <w:color w:val="000000"/>
          <w:sz w:val="28"/>
        </w:rPr>
        <w:t xml:space="preserve"> мынадай редакцияда жазылсын: </w:t>
      </w:r>
    </w:p>
    <w:bookmarkStart w:name="z14" w:id="6"/>
    <w:p>
      <w:pPr>
        <w:spacing w:after="0"/>
        <w:ind w:left="0"/>
        <w:jc w:val="both"/>
      </w:pPr>
      <w:r>
        <w:rPr>
          <w:rFonts w:ascii="Times New Roman"/>
          <w:b w:val="false"/>
          <w:i w:val="false"/>
          <w:color w:val="000000"/>
          <w:sz w:val="28"/>
        </w:rPr>
        <w:t>
      "35-2. Ақша қалдықтарын инвестициялау АААm (Standard&amp;Poor's)/AAA-mf (Moody' s) рейтингі немесе басқа халықаралық рейтингтік агенттіктердің ұқсас рейтингі бар ақша нарығының қорларына не AAAm (Standard&amp;Poor 's)/AAA-mf (Moody' s) рейтингі немесе басқа халықаралық рейтингтік агенттіктердің ұқсас рейтингі бар қорларға қойылатын барлық талаптарды орындайтын ақша нарығының қорларына жүзеге асырылады.</w:t>
      </w:r>
    </w:p>
    <w:bookmarkEnd w:id="6"/>
    <w:bookmarkStart w:name="z15" w:id="7"/>
    <w:p>
      <w:pPr>
        <w:spacing w:after="0"/>
        <w:ind w:left="0"/>
        <w:jc w:val="both"/>
      </w:pPr>
      <w:r>
        <w:rPr>
          <w:rFonts w:ascii="Times New Roman"/>
          <w:b w:val="false"/>
          <w:i w:val="false"/>
          <w:color w:val="000000"/>
          <w:sz w:val="28"/>
        </w:rPr>
        <w:t>
      Ақша нарығының қорларына инвестицияланған активтердің ең жоғары көлемі Ұлттық Банктің немесе сыртқы басқарушылардың басқаруындағы тиісті портфель активтерінің нарықтық құнының 10 (он) пайызынан аспайды. Ақша нарығының қорларына инвестициялау мынадай шарттар сақталған кезде жүзеге асырылады:</w:t>
      </w:r>
    </w:p>
    <w:bookmarkEnd w:id="7"/>
    <w:bookmarkStart w:name="z16" w:id="8"/>
    <w:p>
      <w:pPr>
        <w:spacing w:after="0"/>
        <w:ind w:left="0"/>
        <w:jc w:val="both"/>
      </w:pPr>
      <w:r>
        <w:rPr>
          <w:rFonts w:ascii="Times New Roman"/>
          <w:b w:val="false"/>
          <w:i w:val="false"/>
          <w:color w:val="000000"/>
          <w:sz w:val="28"/>
        </w:rPr>
        <w:t>
      1) ақша нарығының қоры активтерінің көлемі 3 000 000 000 (үш миллиард) АҚШ долларынан кем емес;</w:t>
      </w:r>
    </w:p>
    <w:bookmarkEnd w:id="8"/>
    <w:bookmarkStart w:name="z17" w:id="9"/>
    <w:p>
      <w:pPr>
        <w:spacing w:after="0"/>
        <w:ind w:left="0"/>
        <w:jc w:val="both"/>
      </w:pPr>
      <w:r>
        <w:rPr>
          <w:rFonts w:ascii="Times New Roman"/>
          <w:b w:val="false"/>
          <w:i w:val="false"/>
          <w:color w:val="000000"/>
          <w:sz w:val="28"/>
        </w:rPr>
        <w:t>
      2) ақша нарығы қорының жұмыс тәжірибесі 5 (бес) жылдан кем емес;</w:t>
      </w:r>
    </w:p>
    <w:bookmarkEnd w:id="9"/>
    <w:bookmarkStart w:name="z18" w:id="10"/>
    <w:p>
      <w:pPr>
        <w:spacing w:after="0"/>
        <w:ind w:left="0"/>
        <w:jc w:val="both"/>
      </w:pPr>
      <w:r>
        <w:rPr>
          <w:rFonts w:ascii="Times New Roman"/>
          <w:b w:val="false"/>
          <w:i w:val="false"/>
          <w:color w:val="000000"/>
          <w:sz w:val="28"/>
        </w:rPr>
        <w:t>
      3) ақша нарығының қорларына инвестициялауға рұқсат етілген қаржы құралдарының ең төменгі ұзақ мерзімді және қысқа мерзімді кредиттік рейтингтері тиісінше A- және A-1 (Standard&amp;Poor's)/A3 және P-1 (Moody's) немесе басқа халықаралық рейтингтік агенттіктердің ұқсас кредиттік рейтингінен төмен емес;</w:t>
      </w:r>
    </w:p>
    <w:bookmarkEnd w:id="10"/>
    <w:bookmarkStart w:name="z19" w:id="11"/>
    <w:p>
      <w:pPr>
        <w:spacing w:after="0"/>
        <w:ind w:left="0"/>
        <w:jc w:val="both"/>
      </w:pPr>
      <w:r>
        <w:rPr>
          <w:rFonts w:ascii="Times New Roman"/>
          <w:b w:val="false"/>
          <w:i w:val="false"/>
          <w:color w:val="000000"/>
          <w:sz w:val="28"/>
        </w:rPr>
        <w:t>
      4) ақша нарығының қоры активтерінің 90 (тоқсан) пайызынан кем емес: АҚШ үкіметі шығарған, АҚШ долларында номинирленген АҚШ ақша</w:t>
      </w:r>
    </w:p>
    <w:bookmarkEnd w:id="11"/>
    <w:bookmarkStart w:name="z20" w:id="12"/>
    <w:p>
      <w:pPr>
        <w:spacing w:after="0"/>
        <w:ind w:left="0"/>
        <w:jc w:val="both"/>
      </w:pPr>
      <w:r>
        <w:rPr>
          <w:rFonts w:ascii="Times New Roman"/>
          <w:b w:val="false"/>
          <w:i w:val="false"/>
          <w:color w:val="000000"/>
          <w:sz w:val="28"/>
        </w:rPr>
        <w:t xml:space="preserve">
      нарығының қаржы құралдарына, сондай-ақ олармен репо операцияларына; </w:t>
      </w:r>
    </w:p>
    <w:bookmarkEnd w:id="12"/>
    <w:bookmarkStart w:name="z21" w:id="13"/>
    <w:p>
      <w:pPr>
        <w:spacing w:after="0"/>
        <w:ind w:left="0"/>
        <w:jc w:val="both"/>
      </w:pPr>
      <w:r>
        <w:rPr>
          <w:rFonts w:ascii="Times New Roman"/>
          <w:b w:val="false"/>
          <w:i w:val="false"/>
          <w:color w:val="000000"/>
          <w:sz w:val="28"/>
        </w:rPr>
        <w:t xml:space="preserve">
      Еуроаймақ құрамына кіретін елдердің үкіметтері шығарған немесе кепілдік берген, еурода номинирленген А- (Standard &amp; Poor's)/A3 (Moody's) төмен емес ұзақ мерзімді кредиттік рейтингі немесе басқа халықаралық рейтингтік агенттіктердің ұқсас кредиттік рейтингі бар ақша нарығының құралдарына, сондай-ақ олармен репо операцияларына инвестицияланады.";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23" w:id="14"/>
    <w:p>
      <w:pPr>
        <w:spacing w:after="0"/>
        <w:ind w:left="0"/>
        <w:jc w:val="both"/>
      </w:pPr>
      <w:r>
        <w:rPr>
          <w:rFonts w:ascii="Times New Roman"/>
          <w:b w:val="false"/>
          <w:i w:val="false"/>
          <w:color w:val="000000"/>
          <w:sz w:val="28"/>
        </w:rPr>
        <w:t>
      "44. Жинақ портфелі облигациялар портфеліне, акциялар портфеліне, балама құралдар портфеліне және алтын портфеліне бөлінеді.</w:t>
      </w:r>
    </w:p>
    <w:bookmarkEnd w:id="14"/>
    <w:bookmarkStart w:name="z24" w:id="15"/>
    <w:p>
      <w:pPr>
        <w:spacing w:after="0"/>
        <w:ind w:left="0"/>
        <w:jc w:val="both"/>
      </w:pPr>
      <w:r>
        <w:rPr>
          <w:rFonts w:ascii="Times New Roman"/>
          <w:b w:val="false"/>
          <w:i w:val="false"/>
          <w:color w:val="000000"/>
          <w:sz w:val="28"/>
        </w:rPr>
        <w:t>
      Облигациялар портфелі дамыған елдердің мемлекеттік облигацияларының портфелінен, дамушы елдердің мемлекеттік облигацияларының портфелінен және корпоративтік облигациялар портфелінен тұрады.</w:t>
      </w:r>
    </w:p>
    <w:bookmarkEnd w:id="15"/>
    <w:bookmarkStart w:name="z25" w:id="16"/>
    <w:p>
      <w:pPr>
        <w:spacing w:after="0"/>
        <w:ind w:left="0"/>
        <w:jc w:val="both"/>
      </w:pPr>
      <w:r>
        <w:rPr>
          <w:rFonts w:ascii="Times New Roman"/>
          <w:b w:val="false"/>
          <w:i w:val="false"/>
          <w:color w:val="000000"/>
          <w:sz w:val="28"/>
        </w:rPr>
        <w:t>
      Балама құралдар портфелі жаһандық балама құралдар портфелінен, ашық инвестициялық әріптестік портфелінен және шетелдік цифрлық активтер портфелінен тұрады.</w:t>
      </w:r>
    </w:p>
    <w:bookmarkEnd w:id="16"/>
    <w:bookmarkStart w:name="z26" w:id="17"/>
    <w:p>
      <w:pPr>
        <w:spacing w:after="0"/>
        <w:ind w:left="0"/>
        <w:jc w:val="both"/>
      </w:pPr>
      <w:r>
        <w:rPr>
          <w:rFonts w:ascii="Times New Roman"/>
          <w:b w:val="false"/>
          <w:i w:val="false"/>
          <w:color w:val="000000"/>
          <w:sz w:val="28"/>
        </w:rPr>
        <w:t xml:space="preserve">
      Жаһандық балама құралдар портфелі балама инвестициялардың кең спектрін қамтиды және жекелеген аймақтарға, секторларға немесе инвестициялық тақырыптарға сілтеме жасамай қалыптасады.";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56-1-тармақ</w:t>
      </w:r>
      <w:r>
        <w:rPr>
          <w:rFonts w:ascii="Times New Roman"/>
          <w:b w:val="false"/>
          <w:i w:val="false"/>
          <w:color w:val="000000"/>
          <w:sz w:val="28"/>
        </w:rPr>
        <w:t xml:space="preserve"> мынадай редакцияда жазылсын: </w:t>
      </w:r>
    </w:p>
    <w:bookmarkStart w:name="z28" w:id="18"/>
    <w:p>
      <w:pPr>
        <w:spacing w:after="0"/>
        <w:ind w:left="0"/>
        <w:jc w:val="both"/>
      </w:pPr>
      <w:r>
        <w:rPr>
          <w:rFonts w:ascii="Times New Roman"/>
          <w:b w:val="false"/>
          <w:i w:val="false"/>
          <w:color w:val="000000"/>
          <w:sz w:val="28"/>
        </w:rPr>
        <w:t>
      "56-1. Жаһандық балама құралдар портфелі кірістілігінің нысаналы деңгейі АҚШ долларымен өлшенетін, 80 (сексен) пайызы MSCI АCWI IMI Net Total Return USD Index индексінен және 20 (жиырма) пайызы Bloomberg Global-Aggregate Total Return Index Value Hedged USD индексінен тұратын композиттік индекстің кірістілігі (портфель референсі) болып табылады.</w:t>
      </w:r>
    </w:p>
    <w:bookmarkEnd w:id="18"/>
    <w:bookmarkStart w:name="z29" w:id="19"/>
    <w:p>
      <w:pPr>
        <w:spacing w:after="0"/>
        <w:ind w:left="0"/>
        <w:jc w:val="both"/>
      </w:pPr>
      <w:r>
        <w:rPr>
          <w:rFonts w:ascii="Times New Roman"/>
          <w:b w:val="false"/>
          <w:i w:val="false"/>
          <w:color w:val="000000"/>
          <w:sz w:val="28"/>
        </w:rPr>
        <w:t xml:space="preserve">
      Осы тармақтың бірінші бөлігінде көзделген композиттік индексте (портфель референсі) эталондық бөлуге кері қайтару күнтізбелік тоқсанның соңғы жұмыс күні жүзеге асырылады. </w:t>
      </w:r>
    </w:p>
    <w:bookmarkEnd w:id="19"/>
    <w:bookmarkStart w:name="z30" w:id="20"/>
    <w:p>
      <w:pPr>
        <w:spacing w:after="0"/>
        <w:ind w:left="0"/>
        <w:jc w:val="both"/>
      </w:pPr>
      <w:r>
        <w:rPr>
          <w:rFonts w:ascii="Times New Roman"/>
          <w:b w:val="false"/>
          <w:i w:val="false"/>
          <w:color w:val="000000"/>
          <w:sz w:val="28"/>
        </w:rPr>
        <w:t>
      Бұл ретте жаһандық балама құралдар портфелі, сондай-ақ ашық инвестициялық әріптестік портфелі үшін ұзақ мерзімді кірістіліктің ең төменгі деңгейі 5 (бес), 10 (он) және 15 (он бес) жыл мерзімдегі кезеңдер үшін сырғымалы бағалау (rolling window) әдісімен есептелетін US Consumer Price Index (CPI YOY) + 3 (үш) пайыздық мәні болып табылады.</w:t>
      </w:r>
    </w:p>
    <w:bookmarkEnd w:id="20"/>
    <w:bookmarkStart w:name="z31" w:id="21"/>
    <w:p>
      <w:pPr>
        <w:spacing w:after="0"/>
        <w:ind w:left="0"/>
        <w:jc w:val="both"/>
      </w:pPr>
      <w:r>
        <w:rPr>
          <w:rFonts w:ascii="Times New Roman"/>
          <w:b w:val="false"/>
          <w:i w:val="false"/>
          <w:color w:val="000000"/>
          <w:sz w:val="28"/>
        </w:rPr>
        <w:t>
      Шетелдік цифрлық активтер портфелін басқарудың және ашық инвестициялық әріптестіктің тиімділігін бағалау портфель референсіне қатысты жүргізілмейді.</w:t>
      </w:r>
    </w:p>
    <w:bookmarkEnd w:id="21"/>
    <w:bookmarkStart w:name="z32" w:id="22"/>
    <w:p>
      <w:pPr>
        <w:spacing w:after="0"/>
        <w:ind w:left="0"/>
        <w:jc w:val="both"/>
      </w:pPr>
      <w:r>
        <w:rPr>
          <w:rFonts w:ascii="Times New Roman"/>
          <w:b w:val="false"/>
          <w:i w:val="false"/>
          <w:color w:val="000000"/>
          <w:sz w:val="28"/>
        </w:rPr>
        <w:t xml:space="preserve">
      Шетелдік цифрлық активтер портфелін басқару тиімділігін бағалау жыл сайынғы негізде жүзеге асырылады. Шетелдік цифрлық активтер портфелін басқару нәтижелері "Қазақстан Ұлттық Банкінің Ұлттық инвестициялық корпорациясы" акционерлік қоғамының (бұдан әрі – Корпорация) Директорлар кеңесі бекітетін эталондық портфельдің кірістілігі мен тәуекел көрсеткіштеріне қатысты бағаланады.";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және </w:t>
      </w:r>
      <w:r>
        <w:rPr>
          <w:rFonts w:ascii="Times New Roman"/>
          <w:b w:val="false"/>
          <w:i w:val="false"/>
          <w:color w:val="000000"/>
          <w:sz w:val="28"/>
        </w:rPr>
        <w:t>56-4-тармақтар</w:t>
      </w:r>
      <w:r>
        <w:rPr>
          <w:rFonts w:ascii="Times New Roman"/>
          <w:b w:val="false"/>
          <w:i w:val="false"/>
          <w:color w:val="000000"/>
          <w:sz w:val="28"/>
        </w:rPr>
        <w:t xml:space="preserve"> мынадай редакцияда жазылсын: </w:t>
      </w:r>
    </w:p>
    <w:bookmarkStart w:name="z34" w:id="23"/>
    <w:p>
      <w:pPr>
        <w:spacing w:after="0"/>
        <w:ind w:left="0"/>
        <w:jc w:val="both"/>
      </w:pPr>
      <w:r>
        <w:rPr>
          <w:rFonts w:ascii="Times New Roman"/>
          <w:b w:val="false"/>
          <w:i w:val="false"/>
          <w:color w:val="000000"/>
          <w:sz w:val="28"/>
        </w:rPr>
        <w:t>
      "56-3. Корпорация балама құралдар портфелін сыртқы басқаруды жүзеге асырады.</w:t>
      </w:r>
    </w:p>
    <w:bookmarkEnd w:id="23"/>
    <w:bookmarkStart w:name="z35" w:id="24"/>
    <w:p>
      <w:pPr>
        <w:spacing w:after="0"/>
        <w:ind w:left="0"/>
        <w:jc w:val="both"/>
      </w:pPr>
      <w:r>
        <w:rPr>
          <w:rFonts w:ascii="Times New Roman"/>
          <w:b w:val="false"/>
          <w:i w:val="false"/>
          <w:color w:val="000000"/>
          <w:sz w:val="28"/>
        </w:rPr>
        <w:t>
      Инвестициялық жобаларды талдау және басқару үшін ашық инвестициялық әріптестік бағдарламасы шеңберінде Корпорация 2 (екі) миллиард АҚШ долларынан кем емес активтерді басқаратын және инвестициялау тәжірибесі 10 (он) жылдан кем емес халықаралық басқарушыларды тартады.</w:t>
      </w:r>
    </w:p>
    <w:bookmarkEnd w:id="24"/>
    <w:bookmarkStart w:name="z36" w:id="25"/>
    <w:p>
      <w:pPr>
        <w:spacing w:after="0"/>
        <w:ind w:left="0"/>
        <w:jc w:val="both"/>
      </w:pPr>
      <w:r>
        <w:rPr>
          <w:rFonts w:ascii="Times New Roman"/>
          <w:b w:val="false"/>
          <w:i w:val="false"/>
          <w:color w:val="000000"/>
          <w:sz w:val="28"/>
        </w:rPr>
        <w:t>
      56-4. Жаһандық балама құралдар портфеліндегі инвестициялар осы Қағидаларда белгіленген шектеулер ескеріле отырып жүзеге асырылады. Жаһандық балама құралдар портфелін активтер сыныптары бойынша секторлық бөлу осы Қағидаларға 10-қосымшаға сәйкес жүзеге асырылады.</w:t>
      </w:r>
    </w:p>
    <w:bookmarkEnd w:id="25"/>
    <w:bookmarkStart w:name="z37"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секторлық бөлу бұзылған жағдайда, жаһандық балама құралдар портфелін соңғы есепті кезеңдегі жаһандық балама құралдар көлемінің 100 (бір жүз) пайызынан кем мөлшердегі сомаға жаһандық балама құралдар портфелін толықтыру салдарынан және (немесе) жаһандық балама құралдар портфелі активтерінің құнын өзгерту және (немесе) жаһандық балама құралдар портфелінен активтерді алып қою нәтижесінде жаһандық балама құралдар портфелі бұзылған сәттен бастап 1 (бір) жыл ішінде белгіленген бөлуге сәйкес келтіріледі.</w:t>
      </w:r>
    </w:p>
    <w:bookmarkEnd w:id="26"/>
    <w:bookmarkStart w:name="z38"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секторлық бөлу бұзылған жағдайда, жаһандық балама құралдар портфелін соңғы есепті кезеңдегі жаһандық балама құралдар көлемінің 100 (бір жүз) пайызынан астам сомаға толықтыру салдарынан жаһандық балама құралдар портфелі бұзушылық жасалған сәттен бастап 3 (үш) жыл бойы жарамды транзиттік кезең ішінде белгіленген бөлуге сәйкес келтіріледі.</w:t>
      </w:r>
    </w:p>
    <w:bookmarkEnd w:id="27"/>
    <w:bookmarkStart w:name="z39" w:id="28"/>
    <w:p>
      <w:pPr>
        <w:spacing w:after="0"/>
        <w:ind w:left="0"/>
        <w:jc w:val="both"/>
      </w:pPr>
      <w:r>
        <w:rPr>
          <w:rFonts w:ascii="Times New Roman"/>
          <w:b w:val="false"/>
          <w:i w:val="false"/>
          <w:color w:val="000000"/>
          <w:sz w:val="28"/>
        </w:rPr>
        <w:t>
      Транзиттік кезең ішінде жаһандық балама құралдар портфелі осы Қағидаларға 11-қосымшаға сәйкес портфельдің референс параметрлеріне қатысты бағаланады.</w:t>
      </w:r>
    </w:p>
    <w:bookmarkEnd w:id="28"/>
    <w:bookmarkStart w:name="z40" w:id="29"/>
    <w:p>
      <w:pPr>
        <w:spacing w:after="0"/>
        <w:ind w:left="0"/>
        <w:jc w:val="both"/>
      </w:pPr>
      <w:r>
        <w:rPr>
          <w:rFonts w:ascii="Times New Roman"/>
          <w:b w:val="false"/>
          <w:i w:val="false"/>
          <w:color w:val="000000"/>
          <w:sz w:val="28"/>
        </w:rPr>
        <w:t xml:space="preserve">
      Балама құралдар портфелінің көлемі Қордың активтерін балама құралдар портфеліне ауыстыру кезінде жинақ портфелінің активтері көлемінің 10 (он) пайызынан аспайды. </w:t>
      </w:r>
    </w:p>
    <w:bookmarkEnd w:id="29"/>
    <w:bookmarkStart w:name="z41" w:id="30"/>
    <w:p>
      <w:pPr>
        <w:spacing w:after="0"/>
        <w:ind w:left="0"/>
        <w:jc w:val="both"/>
      </w:pPr>
      <w:r>
        <w:rPr>
          <w:rFonts w:ascii="Times New Roman"/>
          <w:b w:val="false"/>
          <w:i w:val="false"/>
          <w:color w:val="000000"/>
          <w:sz w:val="28"/>
        </w:rPr>
        <w:t xml:space="preserve">
      Ашық инвестициялық әріптестік портфелін толықтырудың жиынтық көлемі 1 (бір) миллиард АҚШ долларынан аспайды. </w:t>
      </w:r>
    </w:p>
    <w:bookmarkEnd w:id="30"/>
    <w:bookmarkStart w:name="z42" w:id="31"/>
    <w:p>
      <w:pPr>
        <w:spacing w:after="0"/>
        <w:ind w:left="0"/>
        <w:jc w:val="both"/>
      </w:pPr>
      <w:r>
        <w:rPr>
          <w:rFonts w:ascii="Times New Roman"/>
          <w:b w:val="false"/>
          <w:i w:val="false"/>
          <w:color w:val="000000"/>
          <w:sz w:val="28"/>
        </w:rPr>
        <w:t xml:space="preserve">
      Балама құралдар портфеліндегі шетелдік цифрлық активтер портфелінің нарықтық құны балама құралдар портфелінің 30 (отыз) пайызынан аспайды.";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56-6-тармақ</w:t>
      </w:r>
      <w:r>
        <w:rPr>
          <w:rFonts w:ascii="Times New Roman"/>
          <w:b w:val="false"/>
          <w:i w:val="false"/>
          <w:color w:val="000000"/>
          <w:sz w:val="28"/>
        </w:rPr>
        <w:t xml:space="preserve"> мынадай редакцияда жазылсын: </w:t>
      </w:r>
    </w:p>
    <w:bookmarkStart w:name="z44" w:id="32"/>
    <w:p>
      <w:pPr>
        <w:spacing w:after="0"/>
        <w:ind w:left="0"/>
        <w:jc w:val="both"/>
      </w:pPr>
      <w:r>
        <w:rPr>
          <w:rFonts w:ascii="Times New Roman"/>
          <w:b w:val="false"/>
          <w:i w:val="false"/>
          <w:color w:val="000000"/>
          <w:sz w:val="28"/>
        </w:rPr>
        <w:t xml:space="preserve">
      "56-6. Балама құралдар портфелінің активтерін "Қазақстан Республикасының Ұлттық қорын орналастыру үшін материалдық емес активтерді қоспағанда, рұқсат етілген қаржы құралдарының және олармен жасалатын мәмілелердің тізбесін бекіту туралы" Қазақстан Республикасы Үкіметінің 2025 жылғы 21 мамырдағы № 353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қорын орналастыру үшін материалдық емес активтерді қоспағанда, рұқсат етілген қаржы құралдарының және олармен жасалатын мәмілелердің тізбесінде көзделген өзге қаржы құралдарына инвестициялауға рұқсат 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Start w:name="z48" w:id="3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11-қосымшамен толықтырылсын.</w:t>
      </w:r>
    </w:p>
    <w:bookmarkEnd w:id="33"/>
    <w:bookmarkStart w:name="z49" w:id="34"/>
    <w:p>
      <w:pPr>
        <w:spacing w:after="0"/>
        <w:ind w:left="0"/>
        <w:jc w:val="both"/>
      </w:pPr>
      <w:r>
        <w:rPr>
          <w:rFonts w:ascii="Times New Roman"/>
          <w:b w:val="false"/>
          <w:i w:val="false"/>
          <w:color w:val="000000"/>
          <w:sz w:val="28"/>
        </w:rPr>
        <w:t>
      2. Қазақстан Республикасы Ұлттық Банкінің Монетарлық операциялар департаменті Қазақстан Республикасының заңнамасында белгіленген тәртіппен:</w:t>
      </w:r>
    </w:p>
    <w:bookmarkEnd w:id="34"/>
    <w:bookmarkStart w:name="z50" w:id="35"/>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5"/>
    <w:bookmarkStart w:name="z51" w:id="3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6"/>
    <w:bookmarkStart w:name="z52" w:id="3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 </w:t>
      </w:r>
    </w:p>
    <w:bookmarkEnd w:id="37"/>
    <w:bookmarkStart w:name="z53" w:id="38"/>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38"/>
    <w:bookmarkStart w:name="z54" w:id="3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11 наурыздағы</w:t>
            </w:r>
            <w:r>
              <w:br/>
            </w:r>
            <w:r>
              <w:rPr>
                <w:rFonts w:ascii="Times New Roman"/>
                <w:b w:val="false"/>
                <w:i w:val="false"/>
                <w:color w:val="000000"/>
                <w:sz w:val="20"/>
              </w:rPr>
              <w:t>№ 17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bookmarkStart w:name="z57" w:id="40"/>
    <w:p>
      <w:pPr>
        <w:spacing w:after="0"/>
        <w:ind w:left="0"/>
        <w:jc w:val="left"/>
      </w:pPr>
      <w:r>
        <w:rPr>
          <w:rFonts w:ascii="Times New Roman"/>
          <w:b/>
          <w:i w:val="false"/>
          <w:color w:val="000000"/>
        </w:rPr>
        <w:t xml:space="preserve"> Жинақ портфелі активтерінің нысаналы стратегиялық бөлінуі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Портфель</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портфелін</w:t>
            </w:r>
            <w:r>
              <w:rPr>
                <w:rFonts w:ascii="Times New Roman"/>
                <w:b w:val="false"/>
                <w:i w:val="false"/>
                <w:color w:val="000000"/>
                <w:sz w:val="20"/>
              </w:rPr>
              <w:t xml:space="preserve"> </w:t>
            </w:r>
            <w:r>
              <w:rPr>
                <w:rFonts w:ascii="Times New Roman"/>
                <w:b/>
                <w:i w:val="false"/>
                <w:color w:val="000000"/>
                <w:sz w:val="20"/>
              </w:rPr>
              <w:t>қалыптастырғанға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пайызбен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портфелін</w:t>
            </w:r>
            <w:r>
              <w:rPr>
                <w:rFonts w:ascii="Times New Roman"/>
                <w:b w:val="false"/>
                <w:i w:val="false"/>
                <w:color w:val="000000"/>
                <w:sz w:val="20"/>
              </w:rPr>
              <w:t xml:space="preserve"> </w:t>
            </w:r>
            <w:r>
              <w:rPr>
                <w:rFonts w:ascii="Times New Roman"/>
                <w:b/>
                <w:i w:val="false"/>
                <w:color w:val="000000"/>
                <w:sz w:val="20"/>
              </w:rPr>
              <w:t>қалыптастырғаннан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пайызбен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8" w:id="41"/>
    <w:p>
      <w:pPr>
        <w:spacing w:after="0"/>
        <w:ind w:left="0"/>
        <w:jc w:val="both"/>
      </w:pPr>
      <w:r>
        <w:rPr>
          <w:rFonts w:ascii="Times New Roman"/>
          <w:b w:val="false"/>
          <w:i w:val="false"/>
          <w:color w:val="000000"/>
          <w:sz w:val="28"/>
        </w:rPr>
        <w:t>
      Ескертпе: 4-бағанның 2 және 3-жолдары бойынша балама құралдар мен акциялардың бірлескен үлесі 45 (қырық бес) пайыздан аспаған жағдайда балама құралдар портфелін ауыстыру немесе толықтыру сәтінде балама құралдардың нақты қалыптасқан үлесі қолданылады.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ші</w:t>
            </w:r>
            <w:r>
              <w:br/>
            </w:r>
            <w:r>
              <w:rPr>
                <w:rFonts w:ascii="Times New Roman"/>
                <w:b w:val="false"/>
                <w:i w:val="false"/>
                <w:color w:val="000000"/>
                <w:sz w:val="20"/>
              </w:rPr>
              <w:t>№ __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60" w:id="42"/>
    <w:p>
      <w:pPr>
        <w:spacing w:after="0"/>
        <w:ind w:left="0"/>
        <w:jc w:val="left"/>
      </w:pPr>
      <w:r>
        <w:rPr>
          <w:rFonts w:ascii="Times New Roman"/>
          <w:b/>
          <w:i w:val="false"/>
          <w:color w:val="000000"/>
        </w:rPr>
        <w:t xml:space="preserve"> Жаһандық балама құралдар портфелінің активтер сыныптары бойынша секторлық бөлінуі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Жаһандық</w:t>
            </w:r>
            <w:r>
              <w:rPr>
                <w:rFonts w:ascii="Times New Roman"/>
                <w:b w:val="false"/>
                <w:i w:val="false"/>
                <w:color w:val="000000"/>
                <w:sz w:val="20"/>
              </w:rPr>
              <w:t xml:space="preserve">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портфелін</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толықтырудан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кезеңіндегі</w:t>
            </w:r>
            <w:r>
              <w:rPr>
                <w:rFonts w:ascii="Times New Roman"/>
                <w:b w:val="false"/>
                <w:i w:val="false"/>
                <w:color w:val="000000"/>
                <w:sz w:val="20"/>
              </w:rPr>
              <w:t xml:space="preserve"> </w:t>
            </w:r>
            <w:r>
              <w:rPr>
                <w:rFonts w:ascii="Times New Roman"/>
                <w:b/>
                <w:i w:val="false"/>
                <w:color w:val="000000"/>
                <w:sz w:val="20"/>
              </w:rPr>
              <w:t>нарықтық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пайызбен</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Жаһандық</w:t>
            </w:r>
            <w:r>
              <w:rPr>
                <w:rFonts w:ascii="Times New Roman"/>
                <w:b w:val="false"/>
                <w:i w:val="false"/>
                <w:color w:val="000000"/>
                <w:sz w:val="20"/>
              </w:rPr>
              <w:t xml:space="preserve">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портфелін</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толтырғаннан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соң</w:t>
            </w:r>
            <w:r>
              <w:rPr>
                <w:rFonts w:ascii="Times New Roman"/>
                <w:b w:val="false"/>
                <w:i w:val="false"/>
                <w:color w:val="000000"/>
                <w:sz w:val="20"/>
              </w:rPr>
              <w:t xml:space="preserve"> </w:t>
            </w:r>
            <w:r>
              <w:rPr>
                <w:rFonts w:ascii="Times New Roman"/>
                <w:b/>
                <w:i w:val="false"/>
                <w:color w:val="000000"/>
                <w:sz w:val="20"/>
              </w:rPr>
              <w:t>нарықтық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пайызбен</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1" w:id="43"/>
    <w:p>
      <w:pPr>
        <w:spacing w:after="0"/>
        <w:ind w:left="0"/>
        <w:jc w:val="both"/>
      </w:pPr>
      <w:r>
        <w:rPr>
          <w:rFonts w:ascii="Times New Roman"/>
          <w:b w:val="false"/>
          <w:i w:val="false"/>
          <w:color w:val="000000"/>
          <w:sz w:val="28"/>
        </w:rPr>
        <w:t>
      Ескертпе: 6 және 7-жолдар бойынша облигациялар мен акциялардың жиынтық көлемі жаһандық балама құралдар портфелін бастапқы толықтырғаннан кейін 5 (бес) жылдан аспайтын жаһандық балама құралдар портфелін қалыптастыру кезеңінде 40 (қырық) пайыздан аспайды. Жаһандық балама құралдар портфелін қалыптастыру кезеңі өткеннен кейін облигациялар мен акциялардың жиынтық көлемі 15 (он бес) пайыздан аспайды.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ші</w:t>
            </w:r>
            <w:r>
              <w:br/>
            </w:r>
            <w:r>
              <w:rPr>
                <w:rFonts w:ascii="Times New Roman"/>
                <w:b w:val="false"/>
                <w:i w:val="false"/>
                <w:color w:val="000000"/>
                <w:sz w:val="20"/>
              </w:rPr>
              <w:t>№ __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63" w:id="44"/>
    <w:p>
      <w:pPr>
        <w:spacing w:after="0"/>
        <w:ind w:left="0"/>
        <w:jc w:val="left"/>
      </w:pPr>
      <w:r>
        <w:rPr>
          <w:rFonts w:ascii="Times New Roman"/>
          <w:b/>
          <w:i w:val="false"/>
          <w:color w:val="000000"/>
        </w:rPr>
        <w:t xml:space="preserve"> Жаһандық балама құралдар портфелі үшін транзиттік кезеңге арналған портфель референсінің параметрлері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Портфель</w:t>
            </w:r>
            <w:r>
              <w:rPr>
                <w:rFonts w:ascii="Times New Roman"/>
                <w:b w:val="false"/>
                <w:i w:val="false"/>
                <w:color w:val="000000"/>
                <w:sz w:val="20"/>
              </w:rPr>
              <w:t xml:space="preserve"> </w:t>
            </w:r>
            <w:r>
              <w:rPr>
                <w:rFonts w:ascii="Times New Roman"/>
                <w:b/>
                <w:i w:val="false"/>
                <w:color w:val="000000"/>
                <w:sz w:val="20"/>
              </w:rPr>
              <w:t>референсінің</w:t>
            </w:r>
            <w:r>
              <w:rPr>
                <w:rFonts w:ascii="Times New Roman"/>
                <w:b w:val="false"/>
                <w:i w:val="false"/>
                <w:color w:val="000000"/>
                <w:sz w:val="20"/>
              </w:rPr>
              <w:t xml:space="preserve"> </w:t>
            </w:r>
            <w:r>
              <w:rPr>
                <w:rFonts w:ascii="Times New Roman"/>
                <w:b/>
                <w:i w:val="false"/>
                <w:color w:val="000000"/>
                <w:sz w:val="20"/>
              </w:rPr>
              <w:t>параметрлері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кезеңнің бірінші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референсі АҚШ долларымен өлшенетін 35 (отыз бес) пайыз MSCI АCWI IMI Net Total Return USD Index индексінен және 65 (алпыс бес) пайыз Bloomberg Global-Aggregate Total Return Index Value Hedged USD индексінен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кезеңнің екінші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референсі АҚШ долларымен өлшенетін 50 (елу) пайыз MSCI АCWI IMI Net Total Return USD Index индексінен және 50 (елу) пайыз Bloomberg Global-Aggregate Total Return Index Value Hedged USD индексінен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кезеңнің үшінші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референсі АҚШ долларымен өлшенетін 65 (алпыс бес) пайыз MSCI АCWI IMI Net Total Return USD Index индексінен және 35 (отыз бес) пайыз Bloomberg Global-Aggregate Total Return Index Value Hedged USD индексінен тұрады.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