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27a" w14:textId="c3d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Төлеби ауданы әкімдігінің 2022 жылдың 11 сәуірдегі № 144 "Төлеби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лауазымдарының тізбесін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2025 жылғы 16 қаңтардағы № 625 қаулысы. Түркістан облысының Әдiлет департаментiнде 2025 жылғы 16 қаңтарда № 6655-13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ауданы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Төлеби ауданы әкімдігінің 2022 жылдың 11 сәуірдегі № 144 "Төлеби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лауазымдарының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28209 болып тіркелген) мынандай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мүгедектігі бар күтім жасау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диеталық мейіргер;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атаудағы суретшілер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ұжым (үйірме)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