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6f2e" w14:textId="14e6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2018 жылғы 7 желтоқсандағы № 31/4 "Солтүстік Қазақстан облысы Шал ақын ауданы Сергеевка қаласының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17 сәуірдегі № 29/2 шешімі. Солтүстік Қазақстан облысының Әділет департаментінде 2025 жылғы 21 сәуірде № 7888-15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2018 жылғы 7 желтоқсандағы № 31/4 "Солтүстік Қазақстан облысы Шал ақын ауданы Сергеевка қаласының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5068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"Юбилейный ауылдық округі" бөлімінде:</w:t>
      </w:r>
    </w:p>
    <w:bookmarkEnd w:id="3"/>
    <w:bookmarkStart w:name="z8" w:id="4"/>
    <w:p>
      <w:pPr>
        <w:spacing w:after="0"/>
        <w:ind w:left="0"/>
        <w:jc w:val="both"/>
      </w:pPr>
      <w:r>
        <w:rPr>
          <w:rFonts w:ascii="Times New Roman"/>
          <w:b w:val="false"/>
          <w:i w:val="false"/>
          <w:color w:val="000000"/>
          <w:sz w:val="28"/>
        </w:rPr>
        <w:t>
      жолдар, 5 және 6 реттік нөмір алып тасталсын.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