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38dd" w14:textId="1d13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8 сәуірдегі № 85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6 қаңтардағы № 2 қаулысы. Солтүстік Қазақстан облысының Әділет департаментінде 2025 жылғы 8 қаңтарда № 7849-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2 жылғы 8 сәуірдегі №85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2760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Ғабит Мүсірепов атындағы ауданның елді мекендерін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3"/>
    <w:bookmarkStart w:name="z8" w:id="4"/>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