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f961" w14:textId="243f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2023 жылғы 17 қарашадағы № 8С 9/4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2025 жылғы 27 ақпандағы № 8С 25/11 шешімі. Ақмола облысының Әділет департаментінде 2025 жылғы 4 наурызда № 8893-03 болып тіркелді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8С 9/4 (Нормативтік құқықтық актілерді мемлекеттік тіркеу тізілімінде № 8650-03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Атбасар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"Атбасар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Атбасар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