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d891" w14:textId="8d0d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2023 жылғы 20 желтоқсандағы № 10/3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2025 жылғы 14 қантардағы № 31/2 шешімі. Ақмола облысының Әділет департаментінде 2025 жылғы 17 қантарда № 8884-03 болып тіркелді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"Аршалы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желтоқсандағы № 10/3 (Нормативтік құқықтық актілерді мемлекеттік тіркеу тізілімінде № 8675-03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Аршалы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Аршалы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"Аршалы ауданының жұмыспен қамту және әлеуметтік бағдарлама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екі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Аршалы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