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9e23" w14:textId="d1c9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Ақкөл аудандық мәслихатының 2025 жылғы 27 мамырдағы № С 40-3 шешімі. Ақмола облысының Әділет департаментінде 2025 жылғы 27 мамырда № 8946-03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Ақкөл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С.Абаханов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2025 жылғы 27 мамырдағы</w:t>
            </w:r>
            <w:r>
              <w:br/>
            </w:r>
            <w:r>
              <w:rPr>
                <w:rFonts w:ascii="Times New Roman"/>
                <w:b w:val="false"/>
                <w:i w:val="false"/>
                <w:color w:val="000000"/>
                <w:sz w:val="20"/>
              </w:rPr>
              <w:t>№ С 40-3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1-тарау. Жалпы ережелер</w:t>
      </w:r>
    </w:p>
    <w:bookmarkEnd w:id="3"/>
    <w:p>
      <w:pPr>
        <w:spacing w:after="0"/>
        <w:ind w:left="0"/>
        <w:jc w:val="both"/>
      </w:pPr>
      <w:r>
        <w:rPr>
          <w:rFonts w:ascii="Times New Roman"/>
          <w:b w:val="false"/>
          <w:i w:val="false"/>
          <w:color w:val="000000"/>
          <w:sz w:val="28"/>
        </w:rPr>
        <w:t>
      1. Ақкөл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"Ақкөл аудандық жұмыспен қамту және әлеуметтік бағдарламалар бөлімі" мемлекеттік мекемесімен жүзеге асырылады.</w:t>
      </w:r>
    </w:p>
    <w:bookmarkStart w:name="z6" w:id="4"/>
    <w:p>
      <w:pPr>
        <w:spacing w:after="0"/>
        <w:ind w:left="0"/>
        <w:jc w:val="left"/>
      </w:pPr>
      <w:r>
        <w:rPr>
          <w:rFonts w:ascii="Times New Roman"/>
          <w:b/>
          <w:i w:val="false"/>
          <w:color w:val="000000"/>
        </w:rPr>
        <w:t xml:space="preserve"> 2-тарау. Әлеуметтік қолдау көрсету тәртібі</w:t>
      </w:r>
    </w:p>
    <w:bookmarkEnd w:id="4"/>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7" w:id="5"/>
    <w:p>
      <w:pPr>
        <w:spacing w:after="0"/>
        <w:ind w:left="0"/>
        <w:jc w:val="left"/>
      </w:pPr>
      <w:r>
        <w:rPr>
          <w:rFonts w:ascii="Times New Roman"/>
          <w:b/>
          <w:i w:val="false"/>
          <w:color w:val="000000"/>
        </w:rPr>
        <w:t xml:space="preserve"> 3-тарау. Әлеуметтік қолдау көрсету мөлшері</w:t>
      </w:r>
    </w:p>
    <w:bookmarkEnd w:id="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