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bf05" w14:textId="bacb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"Үйқамақ түріндегі бұлтартпау шарасын орындау қағидасын бекіту туралы" Қазақстан Республикасы Ішкі істер министрінің 2014 жылғы 29 тамыздағы № 564, Қазақстан Республикасы Бас Прокурорының 2014 жылғы 2 қыркүйектегі № 86, Қазақстан Республикасы Ұлттық қауіпсіздік комитеті төрағасының 2014 жылғы 4 қыркүйектегі № 290, Қазақстан Республикасы Қаржы министрінің 2014 жылғы 11 қыркүйектегі № 394 және Қазақстан Республикасы Мемлекеттік қызмет және сыбайлас жемқорлыққа қарсы іс-қимыл агенттігі төрағасының 2014 жылғы 12 қыркүйектегі № 4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10 желтоқсандағы № 1012, Қазақстан Республикасы Бас Прокурорының 2026 жылғы 9 қаңтардағы № 6, Қазақстан Республикасы Қаржылық мониторинг агенттігі Төрағасының 2025 жылғы 25 желтоқсандағы № 24 және Қазақстан Республикасы Ұлттық қауіпсіздік комитеті Төрағасының 2025 жылғы 30 желтоқсандағы № 135 нс бірлескен бұйрығы. Қазақстан Республикасының Әділет министрлігінде 2026 жылғы 29 қаңтарда № 37916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"Үйқамақ түріндегі бұлтартпау шарасын орындау қағидасын бекіту туралы" Қазақстан Республикасы Ішкі істер министрінің 2014 жылғы 29 тамыздағы № 564, Қазақстан Республикасы Бас Прокурорының 2014 жылғы 2 қыркүйектегі № 86, Қазақстан Республикасы Ұлттық қауіпсіздік комитеті төрағасының 2014 жылғы 4 қыркүйектегі № 290, Қазақстан Республикасы Қаржы министрінің 2014 жылғы 11 қыркүйектегі № 394 және Қазақстан Республикасы Мемлекеттік қызмет және сыбайлас жемқорлыққа қарсы іс-қимыл агенттігі төрағасының 2014 жылғы 12 қыркүйектегі № 4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9741 болып тіркелген)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"Үйқамақ түріндегі бұлтартпау шарасын орындау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"1. Қоса беріліп отырған Үйқамақ түріндегі бұлтартпау шарасын орындау қағидалары бекітілсін.";</w:t>
      </w:r>
    </w:p>
    <w:bookmarkEnd w:id="5"/>
    <w:bookmarkStart w:name="z10" w:id="6"/>
    <w:p>
      <w:pPr>
        <w:spacing w:after="0"/>
        <w:ind w:left="0"/>
        <w:jc w:val="both"/>
      </w:pPr>
      <w:r>
        <w:rPr>
          <w:rFonts w:ascii="Times New Roman"/>
          <w:b w:val="false"/>
          <w:i w:val="false"/>
          <w:color w:val="000000"/>
          <w:sz w:val="28"/>
        </w:rPr>
        <w:t xml:space="preserve">
      көрсетілген бірлескен бұйрықпен бекітілген Үйқамақ түріндегі бұлтартпау шарасын орындау </w:t>
      </w:r>
      <w:r>
        <w:rPr>
          <w:rFonts w:ascii="Times New Roman"/>
          <w:b w:val="false"/>
          <w:i w:val="false"/>
          <w:color w:val="000000"/>
          <w:sz w:val="28"/>
        </w:rPr>
        <w:t>қағидасында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"Үйқамақ түріндегі бұлтартпау шарасын орындау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"1. Осы Үйқамақ түріндегі бұлтартпау шарасын орындау қағидалары (бұдан әрі - Қағидалар) Қазақстан Республикасы Қылмыстық-процестік кодексінің (бұдан әрі – ҚПК) </w:t>
      </w:r>
      <w:r>
        <w:rPr>
          <w:rFonts w:ascii="Times New Roman"/>
          <w:b w:val="false"/>
          <w:i w:val="false"/>
          <w:color w:val="000000"/>
          <w:sz w:val="28"/>
        </w:rPr>
        <w:t>146-бабына</w:t>
      </w:r>
      <w:r>
        <w:rPr>
          <w:rFonts w:ascii="Times New Roman"/>
          <w:b w:val="false"/>
          <w:i w:val="false"/>
          <w:color w:val="000000"/>
          <w:sz w:val="28"/>
        </w:rPr>
        <w:t xml:space="preserve"> сәйкес әзірленді, сотқа дейінгі тергеп-тексеру органдарының не егер бұлтартпау шарасы сот іс жүргізуі уақытында қолданылса, соттың өтініші бойынша тергеу судьясы (сот) таңдайтын үйқамақ түріндегі бұлтартпау шарасын орындау тәртібін белгілейді.";</w:t>
      </w:r>
    </w:p>
    <w:bookmarkEnd w:id="9"/>
    <w:bookmarkStart w:name="z17" w:id="10"/>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0"/>
    <w:bookmarkStart w:name="z18" w:id="11"/>
    <w:p>
      <w:pPr>
        <w:spacing w:after="0"/>
        <w:ind w:left="0"/>
        <w:jc w:val="both"/>
      </w:pPr>
      <w:r>
        <w:rPr>
          <w:rFonts w:ascii="Times New Roman"/>
          <w:b w:val="false"/>
          <w:i w:val="false"/>
          <w:color w:val="000000"/>
          <w:sz w:val="28"/>
        </w:rPr>
        <w:t>
      "2-тарау. Осы Қағидаларда пайдаланылатын негізгі ұғымдар";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0"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1" w:id="13"/>
    <w:p>
      <w:pPr>
        <w:spacing w:after="0"/>
        <w:ind w:left="0"/>
        <w:jc w:val="both"/>
      </w:pPr>
      <w:r>
        <w:rPr>
          <w:rFonts w:ascii="Times New Roman"/>
          <w:b w:val="false"/>
          <w:i w:val="false"/>
          <w:color w:val="000000"/>
          <w:sz w:val="28"/>
        </w:rPr>
        <w:t xml:space="preserve">
      1) үйқамақ – күдіктіні, айыпталушыны, сотталушыны күзетпен қамауда ұстамай, бірақ ҚПК </w:t>
      </w:r>
      <w:r>
        <w:rPr>
          <w:rFonts w:ascii="Times New Roman"/>
          <w:b w:val="false"/>
          <w:i w:val="false"/>
          <w:color w:val="000000"/>
          <w:sz w:val="28"/>
        </w:rPr>
        <w:t>147-бабында</w:t>
      </w:r>
      <w:r>
        <w:rPr>
          <w:rFonts w:ascii="Times New Roman"/>
          <w:b w:val="false"/>
          <w:i w:val="false"/>
          <w:color w:val="000000"/>
          <w:sz w:val="28"/>
        </w:rPr>
        <w:t xml:space="preserve"> көзделген негіздер бойынша және тәртіпте судья (сот) белгілеген шектеулерді қолдана отырып, қоғамнан оқшаулау;</w:t>
      </w:r>
    </w:p>
    <w:bookmarkEnd w:id="13"/>
    <w:bookmarkStart w:name="z22" w:id="14"/>
    <w:p>
      <w:pPr>
        <w:spacing w:after="0"/>
        <w:ind w:left="0"/>
        <w:jc w:val="both"/>
      </w:pPr>
      <w:r>
        <w:rPr>
          <w:rFonts w:ascii="Times New Roman"/>
          <w:b w:val="false"/>
          <w:i w:val="false"/>
          <w:color w:val="000000"/>
          <w:sz w:val="28"/>
        </w:rPr>
        <w:t>
      2)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bookmarkEnd w:id="14"/>
    <w:bookmarkStart w:name="z23" w:id="15"/>
    <w:p>
      <w:pPr>
        <w:spacing w:after="0"/>
        <w:ind w:left="0"/>
        <w:jc w:val="both"/>
      </w:pPr>
      <w:r>
        <w:rPr>
          <w:rFonts w:ascii="Times New Roman"/>
          <w:b w:val="false"/>
          <w:i w:val="false"/>
          <w:color w:val="000000"/>
          <w:sz w:val="28"/>
        </w:rPr>
        <w:t>
      Модульдік (мобильді) тұрғын үй деп арнаулы мемлекеттік органдар қызметкерлерінің, әскери қызметшілер мен олардың отбасы мүшелерінің тұруына арналған және соған пайдаланылатын, жабық және оқшауланған әскери қалашықтарда, шекара бөлімшелерінде және өзге де жабық объектілерде орналасқан объект түсініледі.";</w:t>
      </w:r>
    </w:p>
    <w:bookmarkEnd w:id="15"/>
    <w:bookmarkStart w:name="z24" w:id="16"/>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6"/>
    <w:bookmarkStart w:name="z25" w:id="17"/>
    <w:p>
      <w:pPr>
        <w:spacing w:after="0"/>
        <w:ind w:left="0"/>
        <w:jc w:val="both"/>
      </w:pPr>
      <w:r>
        <w:rPr>
          <w:rFonts w:ascii="Times New Roman"/>
          <w:b w:val="false"/>
          <w:i w:val="false"/>
          <w:color w:val="000000"/>
          <w:sz w:val="28"/>
        </w:rPr>
        <w:t>
      "3-тарау. Үйқамақты қолдану";</w:t>
      </w:r>
    </w:p>
    <w:bookmarkEnd w:id="17"/>
    <w:bookmarkStart w:name="z26" w:id="18"/>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8"/>
    <w:bookmarkStart w:name="z27" w:id="19"/>
    <w:p>
      <w:pPr>
        <w:spacing w:after="0"/>
        <w:ind w:left="0"/>
        <w:jc w:val="both"/>
      </w:pPr>
      <w:r>
        <w:rPr>
          <w:rFonts w:ascii="Times New Roman"/>
          <w:b w:val="false"/>
          <w:i w:val="false"/>
          <w:color w:val="000000"/>
          <w:sz w:val="28"/>
        </w:rPr>
        <w:t>
      "4-тарау. Үйқамақта отырған күдіктінің, айыпталушының, сотталушының тәртібін қадағалауды жүзеге асыруды ұйымдастыру";</w:t>
      </w:r>
    </w:p>
    <w:bookmarkEnd w:id="19"/>
    <w:bookmarkStart w:name="z28" w:id="20"/>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
    <w:bookmarkStart w:name="z29" w:id="21"/>
    <w:p>
      <w:pPr>
        <w:spacing w:after="0"/>
        <w:ind w:left="0"/>
        <w:jc w:val="both"/>
      </w:pPr>
      <w:r>
        <w:rPr>
          <w:rFonts w:ascii="Times New Roman"/>
          <w:b w:val="false"/>
          <w:i w:val="false"/>
          <w:color w:val="000000"/>
          <w:sz w:val="28"/>
        </w:rPr>
        <w:t>
      "2) күдіктіге, айыпталушыға, сотталушыға таңдалған бұлтартпау шарасының, тергеу судьясының (соттың) қаулысында көрсетілген шектеулер мен міндеттердің мәнін түсіндіреді. Күдіктіге (айыпталушыға, сотталушыға) бұлтартпау шарасын таңдау туралы тергеу судьясының (соттың) қаулысын хабарлау және оның көшірмесін тапсыру туралы хаттама жасайды. Хаттама тергеушіге, анықтаушыға, прокурорға немесе егер бұлтартпау шарасы сот ісін жүргізу кезінде қолданылса, сотқа жолданады, хаттаманың көшірмесі бақылау-қадағалау ісіне тігіледі.</w:t>
      </w:r>
    </w:p>
    <w:bookmarkEnd w:id="21"/>
    <w:bookmarkStart w:name="z30" w:id="22"/>
    <w:p>
      <w:pPr>
        <w:spacing w:after="0"/>
        <w:ind w:left="0"/>
        <w:jc w:val="both"/>
      </w:pPr>
      <w:r>
        <w:rPr>
          <w:rFonts w:ascii="Times New Roman"/>
          <w:b w:val="false"/>
          <w:i w:val="false"/>
          <w:color w:val="000000"/>
          <w:sz w:val="28"/>
        </w:rPr>
        <w:t>
      Күдіктіні, айыпталушыны, сотталушыны кезекші бөлімге және оның мінез-құлқына тікелей қадағалауды жүзеге асырылатын құрылымдық бөлімшенің қызметкеріне мыналар:</w:t>
      </w:r>
    </w:p>
    <w:bookmarkEnd w:id="22"/>
    <w:bookmarkStart w:name="z31" w:id="23"/>
    <w:p>
      <w:pPr>
        <w:spacing w:after="0"/>
        <w:ind w:left="0"/>
        <w:jc w:val="both"/>
      </w:pPr>
      <w:r>
        <w:rPr>
          <w:rFonts w:ascii="Times New Roman"/>
          <w:b w:val="false"/>
          <w:i w:val="false"/>
          <w:color w:val="000000"/>
          <w:sz w:val="28"/>
        </w:rPr>
        <w:t>
      қылмыстық процесті жүргізетін органның рұқсатымен не шұғыл жағдайлар немесе төтенше жағдайларға байланысты тұрғынжайды толық немесе белгілі бір уақытта қалдыру ниеті туралы;</w:t>
      </w:r>
    </w:p>
    <w:bookmarkEnd w:id="23"/>
    <w:bookmarkStart w:name="z32" w:id="24"/>
    <w:p>
      <w:pPr>
        <w:spacing w:after="0"/>
        <w:ind w:left="0"/>
        <w:jc w:val="both"/>
      </w:pPr>
      <w:r>
        <w:rPr>
          <w:rFonts w:ascii="Times New Roman"/>
          <w:b w:val="false"/>
          <w:i w:val="false"/>
          <w:color w:val="000000"/>
          <w:sz w:val="28"/>
        </w:rPr>
        <w:t xml:space="preserve">
      бірге тұратын отбасы мүшелері мен қорғаушысымен байланыстарды және ҚПК-нің </w:t>
      </w:r>
      <w:r>
        <w:rPr>
          <w:rFonts w:ascii="Times New Roman"/>
          <w:b w:val="false"/>
          <w:i w:val="false"/>
          <w:color w:val="000000"/>
          <w:sz w:val="28"/>
        </w:rPr>
        <w:t>146-бабының</w:t>
      </w:r>
      <w:r>
        <w:rPr>
          <w:rFonts w:ascii="Times New Roman"/>
          <w:b w:val="false"/>
          <w:i w:val="false"/>
          <w:color w:val="000000"/>
          <w:sz w:val="28"/>
        </w:rPr>
        <w:t xml:space="preserve"> үшінші бөлігінде көзделген өзге де жағдайларды қоспағанда, қылмыстық процесті жүргізетін органның рұқсатымен сот тыйым салған белгілі бір адамдармен араласу және кімді болса да үйінде қабылдау туралы;</w:t>
      </w:r>
    </w:p>
    <w:bookmarkEnd w:id="24"/>
    <w:bookmarkStart w:name="z33" w:id="25"/>
    <w:p>
      <w:pPr>
        <w:spacing w:after="0"/>
        <w:ind w:left="0"/>
        <w:jc w:val="both"/>
      </w:pPr>
      <w:r>
        <w:rPr>
          <w:rFonts w:ascii="Times New Roman"/>
          <w:b w:val="false"/>
          <w:i w:val="false"/>
          <w:color w:val="000000"/>
          <w:sz w:val="28"/>
        </w:rPr>
        <w:t xml:space="preserve">
      ҚПК 146-бабының екінші бөлігінің </w:t>
      </w:r>
      <w:r>
        <w:rPr>
          <w:rFonts w:ascii="Times New Roman"/>
          <w:b w:val="false"/>
          <w:i w:val="false"/>
          <w:color w:val="000000"/>
          <w:sz w:val="28"/>
        </w:rPr>
        <w:t>5) тармағында</w:t>
      </w:r>
      <w:r>
        <w:rPr>
          <w:rFonts w:ascii="Times New Roman"/>
          <w:b w:val="false"/>
          <w:i w:val="false"/>
          <w:color w:val="000000"/>
          <w:sz w:val="28"/>
        </w:rPr>
        <w:t xml:space="preserve"> және үшінші бөлігінде көзделген жағдайларды қоспағанда, қылмыстық процесті жүргізетін органның рұқсатымен телефон арқылы сөйлесу және хат-хабар жөнелту туралы;</w:t>
      </w:r>
    </w:p>
    <w:bookmarkEnd w:id="25"/>
    <w:bookmarkStart w:name="z34" w:id="26"/>
    <w:p>
      <w:pPr>
        <w:spacing w:after="0"/>
        <w:ind w:left="0"/>
        <w:jc w:val="both"/>
      </w:pPr>
      <w:r>
        <w:rPr>
          <w:rFonts w:ascii="Times New Roman"/>
          <w:b w:val="false"/>
          <w:i w:val="false"/>
          <w:color w:val="000000"/>
          <w:sz w:val="28"/>
        </w:rPr>
        <w:t>
      байланыс құралдарын пайдаланудың әрбір жағдайы жөнінде хабарлау қажеттілігі туралы жазбаша түрде ескертеді.</w:t>
      </w:r>
    </w:p>
    <w:bookmarkEnd w:id="26"/>
    <w:bookmarkStart w:name="z35" w:id="27"/>
    <w:p>
      <w:pPr>
        <w:spacing w:after="0"/>
        <w:ind w:left="0"/>
        <w:jc w:val="both"/>
      </w:pPr>
      <w:r>
        <w:rPr>
          <w:rFonts w:ascii="Times New Roman"/>
          <w:b w:val="false"/>
          <w:i w:val="false"/>
          <w:color w:val="000000"/>
          <w:sz w:val="28"/>
        </w:rPr>
        <w:t xml:space="preserve">
      Жүктелген шектеулер орындалмаған жағдайда прокурор, тергеуші (анықтаушы) ҚПК-нің </w:t>
      </w:r>
      <w:r>
        <w:rPr>
          <w:rFonts w:ascii="Times New Roman"/>
          <w:b w:val="false"/>
          <w:i w:val="false"/>
          <w:color w:val="000000"/>
          <w:sz w:val="28"/>
        </w:rPr>
        <w:t>153-бабына</w:t>
      </w:r>
      <w:r>
        <w:rPr>
          <w:rFonts w:ascii="Times New Roman"/>
          <w:b w:val="false"/>
          <w:i w:val="false"/>
          <w:color w:val="000000"/>
          <w:sz w:val="28"/>
        </w:rPr>
        <w:t xml:space="preserve"> сәйкес прокурормен келісім бойынша бұлтартпау шарасын күзетпен қамауда ұстауға өзгерту немесе қосымша міндеттер жүктеу туралы өтінішпен тергеу судьясына (сотқа) жүгінуге құқылы екендігін түсіндіреді;";</w:t>
      </w:r>
    </w:p>
    <w:bookmarkEnd w:id="27"/>
    <w:bookmarkStart w:name="z36" w:id="28"/>
    <w:p>
      <w:pPr>
        <w:spacing w:after="0"/>
        <w:ind w:left="0"/>
        <w:jc w:val="both"/>
      </w:pPr>
      <w:r>
        <w:rPr>
          <w:rFonts w:ascii="Times New Roman"/>
          <w:b w:val="false"/>
          <w:i w:val="false"/>
          <w:color w:val="000000"/>
          <w:sz w:val="28"/>
        </w:rPr>
        <w:t xml:space="preserve">
      5-тараудың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8"/>
    <w:bookmarkStart w:name="z37" w:id="29"/>
    <w:p>
      <w:pPr>
        <w:spacing w:after="0"/>
        <w:ind w:left="0"/>
        <w:jc w:val="both"/>
      </w:pPr>
      <w:r>
        <w:rPr>
          <w:rFonts w:ascii="Times New Roman"/>
          <w:b w:val="false"/>
          <w:i w:val="false"/>
          <w:color w:val="000000"/>
          <w:sz w:val="28"/>
        </w:rPr>
        <w:t>
      "5-тарау. Үйқамақта ұстаудың орындалуын бақылау";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"Үйқамақ түріндегі бұлтартпау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шарасын орындау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 (11-тармақ)";</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"Үйқамақ түріндегі бұлтартпау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шарасын орындау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 (16-тармақ)".</w:t>
            </w:r>
          </w:p>
        </w:tc>
      </w:tr>
    </w:tbl>
    <w:bookmarkStart w:name="z46" w:id="30"/>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30"/>
    <w:bookmarkStart w:name="z47" w:id="31"/>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1"/>
    <w:bookmarkStart w:name="z48" w:id="32"/>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Ішкі істер министрлігінің интернет-ресурсына орналастыруды;</w:t>
      </w:r>
    </w:p>
    <w:bookmarkEnd w:id="32"/>
    <w:bookmarkStart w:name="z49" w:id="33"/>
    <w:p>
      <w:pPr>
        <w:spacing w:after="0"/>
        <w:ind w:left="0"/>
        <w:jc w:val="both"/>
      </w:pPr>
      <w:r>
        <w:rPr>
          <w:rFonts w:ascii="Times New Roman"/>
          <w:b w:val="false"/>
          <w:i w:val="false"/>
          <w:color w:val="000000"/>
          <w:sz w:val="28"/>
        </w:rPr>
        <w:t xml:space="preserve">
      3) осы бірлескен бұйрықты мемлекеттік тіркегеннен кейін күнтізбелік он күн ішінде Қазақстан Республикасы Ішкі істер министрлігінің Заң мен нормашығармашылықты үйлестіру департаментіне осы бұйрықтың 1) және 2) тармақшаларында көзделген іс-шараларды орындау туралы мәліметтерді ұсынуды қамтамасыз етсін. </w:t>
      </w:r>
    </w:p>
    <w:bookmarkEnd w:id="33"/>
    <w:bookmarkStart w:name="z50" w:id="34"/>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Ішкі істер министрінің жетекшілік ететін орынбасарына жүктелсін.</w:t>
      </w:r>
    </w:p>
    <w:bookmarkEnd w:id="34"/>
    <w:bookmarkStart w:name="z51" w:id="35"/>
    <w:p>
      <w:pPr>
        <w:spacing w:after="0"/>
        <w:ind w:left="0"/>
        <w:jc w:val="both"/>
      </w:pPr>
      <w:r>
        <w:rPr>
          <w:rFonts w:ascii="Times New Roman"/>
          <w:b w:val="false"/>
          <w:i w:val="false"/>
          <w:color w:val="000000"/>
          <w:sz w:val="28"/>
        </w:rPr>
        <w:t>
      4. Осы бірлескен бұйрық алғашқы ресми жарияланғаннан кейін күнтізбелік он күн өткен соң қолданысқа енгізіледі.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министрі</w:t>
                  </w:r>
                </w:p>
                <w:p>
                  <w:pPr>
                    <w:spacing w:after="20"/>
                    <w:ind w:left="20"/>
                    <w:jc w:val="both"/>
                  </w:pPr>
                  <w:r>
                    <w:rPr>
                      <w:rFonts w:ascii="Times New Roman"/>
                      <w:b/>
                      <w:i w:val="false"/>
                      <w:color w:val="000000"/>
                      <w:sz w:val="20"/>
                    </w:rPr>
                    <w:t>________________</w:t>
                  </w:r>
                  <w:r>
                    <w:rPr>
                      <w:rFonts w:ascii="Times New Roman"/>
                      <w:b w:val="false"/>
                      <w:i w:val="false"/>
                      <w:color w:val="000000"/>
                      <w:sz w:val="20"/>
                    </w:rPr>
                    <w:t xml:space="preserve"> </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Саденов</w:t>
                  </w:r>
                  <w:r>
                    <w:rPr>
                      <w:rFonts w:ascii="Times New Roman"/>
                      <w:b w:val="false"/>
                      <w:i w:val="false"/>
                      <w:color w:val="000000"/>
                      <w:sz w:val="20"/>
                    </w:rPr>
                    <w:t>
</w:t>
                  </w:r>
                </w:p>
                <w:p>
                  <w:pPr>
                    <w:spacing w:after="0"/>
                    <w:ind w:left="0"/>
                    <w:jc w:val="left"/>
                  </w:pP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прокуроры</w:t>
                  </w:r>
                </w:p>
                <w:p>
                  <w:pPr>
                    <w:spacing w:after="20"/>
                    <w:ind w:left="20"/>
                    <w:jc w:val="both"/>
                  </w:pP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Асылов</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w:t>
                  </w:r>
                </w:p>
                <w:p>
                  <w:pPr>
                    <w:spacing w:after="20"/>
                    <w:ind w:left="20"/>
                    <w:jc w:val="both"/>
                  </w:pPr>
                  <w:r>
                    <w:rPr>
                      <w:rFonts w:ascii="Times New Roman"/>
                      <w:b w:val="false"/>
                      <w:i/>
                      <w:color w:val="000000"/>
                      <w:sz w:val="20"/>
                    </w:rPr>
                    <w:t>комитетінің төрағасы</w:t>
                  </w:r>
                </w:p>
                <w:p>
                  <w:pPr>
                    <w:spacing w:after="0"/>
                    <w:ind w:left="0"/>
                    <w:jc w:val="left"/>
                  </w:pPr>
                </w:p>
                <w:p>
                  <w:pPr>
                    <w:spacing w:after="20"/>
                    <w:ind w:left="20"/>
                    <w:jc w:val="both"/>
                  </w:pPr>
                  <w:r>
                    <w:rPr>
                      <w:rFonts w:ascii="Times New Roman"/>
                      <w:b w:val="false"/>
                      <w:i/>
                      <w:color w:val="000000"/>
                      <w:sz w:val="20"/>
                    </w:rPr>
                    <w:t>___________Е. Сағымбаев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Қаржылық мониторинг</w:t>
                  </w:r>
                </w:p>
                <w:p>
                  <w:pPr>
                    <w:spacing w:after="20"/>
                    <w:ind w:left="20"/>
                    <w:jc w:val="both"/>
                  </w:pPr>
                  <w:r>
                    <w:rPr>
                      <w:rFonts w:ascii="Times New Roman"/>
                      <w:b w:val="false"/>
                      <w:i/>
                      <w:color w:val="000000"/>
                      <w:sz w:val="20"/>
                    </w:rPr>
                    <w:t>агенттігінің төрағасы</w:t>
                  </w:r>
                </w:p>
                <w:p>
                  <w:pPr>
                    <w:spacing w:after="20"/>
                    <w:ind w:left="20"/>
                    <w:jc w:val="both"/>
                  </w:pPr>
                  <w:r>
                    <w:rPr>
                      <w:rFonts w:ascii="Times New Roman"/>
                      <w:b w:val="false"/>
                      <w:i/>
                      <w:color w:val="000000"/>
                      <w:sz w:val="20"/>
                    </w:rPr>
                    <w:t>__________ Ж. Элиманов</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