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8af0" w14:textId="71d8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дамыту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31 желтоқсандағы № 85 қаулысы. Қазақстан Республикасының Әділет министрлігінде 2026 жылғы 8 қаңтарда № 37823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Бағалы қағаздар нарығын дамыту мәселелері бойынша өзгерістер мен толықтыру енгізілетін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 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xml:space="preserve">№ 85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Бағалы қағаздар нарығын дамыту мәселелері бойынша өзгерістер мен толықтыру енгізілетін Қазақстан Республикасы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 Қазақстан Республикасының Қаржы нарығын және қаржы ұйымдарын реттеу мен қадағалау жөніндегі агенттігі Басқармасының 2004 жылғы 21 тамыздағы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4" w:id="11"/>
    <w:p>
      <w:pPr>
        <w:spacing w:after="0"/>
        <w:ind w:left="0"/>
        <w:jc w:val="both"/>
      </w:pPr>
      <w:r>
        <w:rPr>
          <w:rFonts w:ascii="Times New Roman"/>
          <w:b w:val="false"/>
          <w:i w:val="false"/>
          <w:color w:val="000000"/>
          <w:sz w:val="28"/>
        </w:rPr>
        <w:t>
      "7. Инвестициялық қордың активтерін құрайтын және қор биржасының тізіміне кіретін қаржы құралы ол тізіміне кіретін қор биржасының ішкі құжаттарына сәйкес нарықтық бағасы немесе клирингтік ұйымның есеп айырысу бағасы бойынша не Bloomberg (Блумберг) немесе Reuters (Рейтер) ақпараттық-талдау жүйелерінің деректері бойынша бағаланады.";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"14-1. Тәуекелді инвестициялаудың инвестициялық пай қорының пайын қоспағанда, инвестициялық пай қоры пайының есептелген құны басқарушы компанияның ресми интернет-ресурсында келесі жұмыс күні сағат 18:00-ден кешіктірілмей орналастырылады.".</w:t>
      </w:r>
    </w:p>
    <w:bookmarkEnd w:id="12"/>
    <w:bookmarkStart w:name="z17" w:id="13"/>
    <w:p>
      <w:pPr>
        <w:spacing w:after="0"/>
        <w:ind w:left="0"/>
        <w:jc w:val="both"/>
      </w:pPr>
      <w:r>
        <w:rPr>
          <w:rFonts w:ascii="Times New Roman"/>
          <w:b w:val="false"/>
          <w:i w:val="false"/>
          <w:color w:val="000000"/>
          <w:sz w:val="28"/>
        </w:rPr>
        <w:t xml:space="preserve">
      2.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мынадай өзгерту және толықтыру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 Заңының (бұдан әрі – Заң) 37-бабы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мынадай мазмұндағы 8-4-тармақпен толықтырылсын:</w:t>
      </w:r>
    </w:p>
    <w:bookmarkEnd w:id="16"/>
    <w:bookmarkStart w:name="z22" w:id="17"/>
    <w:p>
      <w:pPr>
        <w:spacing w:after="0"/>
        <w:ind w:left="0"/>
        <w:jc w:val="both"/>
      </w:pPr>
      <w:r>
        <w:rPr>
          <w:rFonts w:ascii="Times New Roman"/>
          <w:b w:val="false"/>
          <w:i w:val="false"/>
          <w:color w:val="000000"/>
          <w:sz w:val="28"/>
        </w:rPr>
        <w:t>
      "8-4. Қағидалардың 8-1 және 8-2-тармақтарында көрсетілген қаржы құралдарына биржалық пай қорының (Exchange Traded Fund) (ETF) (Эксчейндж Трэйдэд Фанд) активтері есебінен инвестициялардың жиынтық мөлшері инвестициялық қордың инвестициялық декларациясымен белгіленеді.".</w:t>
      </w:r>
    </w:p>
    <w:bookmarkEnd w:id="17"/>
    <w:bookmarkStart w:name="z23" w:id="18"/>
    <w:p>
      <w:pPr>
        <w:spacing w:after="0"/>
        <w:ind w:left="0"/>
        <w:jc w:val="both"/>
      </w:pPr>
      <w:r>
        <w:rPr>
          <w:rFonts w:ascii="Times New Roman"/>
          <w:b w:val="false"/>
          <w:i w:val="false"/>
          <w:color w:val="000000"/>
          <w:sz w:val="28"/>
        </w:rPr>
        <w:t xml:space="preserve">
      3. "Тек қана білікті инвесторлардың қаражаты есебінен сатып алуға рұқсат етілген қаржы құралдарының тізбесін белгілеу туралы" Қазақстан Республикасы Ұлттық Банкі Басқармасының 2012 жылғы 27 шілдедегі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№7853 болып тіркелген) мынадай өзгерістер енгізілсін:</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5-1-бабы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 Осы қаулының 1-тармағының 3) және 5) тармақшаларының талаптары инвестициялық қордың инвестицияларына қолданылмайды.".</w:t>
      </w:r>
    </w:p>
    <w:bookmarkEnd w:id="20"/>
    <w:bookmarkStart w:name="z28" w:id="21"/>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№7853 болып тіркелген) мынадай өзгерістер енгізілсін:</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"8. Брокер және (немесе) дилердің ішкі құжаттарында бағалы қағаздардың орталық депозитарийінің, қор биржасының, клирингтік ұйымның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құжаттармен алмасу жүйесіне кіру үшін рұқсаты (пайдаланатын парольдері) бар брокер және (немесе) дилердің қызметкерлерінің жауапкершілігі белгіленеді.</w:t>
      </w:r>
    </w:p>
    <w:bookmarkEnd w:id="23"/>
    <w:bookmarkStart w:name="z32" w:id="24"/>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түсініледі:</w:t>
      </w:r>
    </w:p>
    <w:bookmarkEnd w:id="24"/>
    <w:bookmarkStart w:name="z33" w:id="25"/>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bookmarkEnd w:id="25"/>
    <w:bookmarkStart w:name="z34" w:id="26"/>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bookmarkEnd w:id="26"/>
    <w:bookmarkStart w:name="z35" w:id="27"/>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bookmarkEnd w:id="27"/>
    <w:bookmarkStart w:name="z36" w:id="28"/>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халықаралық шкаласы бойынша "ВВВ"-дан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шетел ұйымы;</w:t>
      </w:r>
    </w:p>
    <w:bookmarkEnd w:id="28"/>
    <w:bookmarkStart w:name="z37" w:id="29"/>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мынадай талаптарға сәйкес жүзеге асыратын шетелдік ұйым:</w:t>
      </w:r>
    </w:p>
    <w:bookmarkEnd w:id="29"/>
    <w:bookmarkStart w:name="z38" w:id="30"/>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bookmarkEnd w:id="30"/>
    <w:bookmarkStart w:name="z39" w:id="31"/>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 және (немесе) брокерлік және (немесе) дилерлік қызметті қадағалау саласындағы уәкілетті орган мен осы шетелдік қадағалау органы арасында ынтымақтастық және ақпарат алмасу туралы халықаралық келісім бар;</w:t>
      </w:r>
    </w:p>
    <w:bookmarkEnd w:id="31"/>
    <w:bookmarkStart w:name="z40" w:id="32"/>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"А"-ден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болып табылады;</w:t>
      </w:r>
    </w:p>
    <w:bookmarkEnd w:id="32"/>
    <w:bookmarkStart w:name="z41" w:id="33"/>
    <w:p>
      <w:pPr>
        <w:spacing w:after="0"/>
        <w:ind w:left="0"/>
        <w:jc w:val="both"/>
      </w:pPr>
      <w:r>
        <w:rPr>
          <w:rFonts w:ascii="Times New Roman"/>
          <w:b w:val="false"/>
          <w:i w:val="false"/>
          <w:color w:val="000000"/>
          <w:sz w:val="28"/>
        </w:rPr>
        <w:t>
      Еуразиялық экономикалық одаққа мүше мемлекеттің аумағында тіркелген заңды тұлға болып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34"/>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bookmarkStart w:name="z44" w:id="35"/>
    <w:p>
      <w:pPr>
        <w:spacing w:after="0"/>
        <w:ind w:left="0"/>
        <w:jc w:val="both"/>
      </w:pPr>
      <w:r>
        <w:rPr>
          <w:rFonts w:ascii="Times New Roman"/>
          <w:b w:val="false"/>
          <w:i w:val="false"/>
          <w:color w:val="000000"/>
          <w:sz w:val="28"/>
        </w:rPr>
        <w:t>
      Брокердің және (немесе) дилердің ішкі қағидалары брокер және (немесе) дилер тарапынан брокердің және (немесе) дилердің қызметкерінің мүдделер қақтығысын болғызбау мақсатында валюта және қор нарықтарында мәмілелер жасау саласындағы қызметті жүзеге асыратын, оның ішінде сенімхат бойынша жүзеге асыратын үшінші тұлғаларға агенттік қызметтерді ұсынуына келісімін көздейді.";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"12-1. Брокер және (немесе) дилер өз қызметкерлерінің брокердің және (немесе) дилердің лицензияланатын қызмет түрімен байланысты лауазымдық міндеттерін жүзеге асыру шеңберінде олардың клиенттермен, оның ішінде әлеуетті клиенттермен және (немесе) контрагенттермен және телефон байланысы құралдарын, электрондық поштаны, бейнеконференцбайланысты немесе нақты уақыт режимінде мәтіндік (дыбыстық) хабарламалармен алмасу жөніндегі бағдарламалық қамтамасыз етуді, брокердің және (немесе) дилердің атына тіркелген абоненттік нөмірлерін және (немесе) электрондық поштаның мекенжайын және (немесе) домендік мекенжайларын пайдалана отырып, сондай-ақ Bloomberg, Reuters ақпараттық жүйелерін (бұдан әрі – корпоративтік байланыс құралдары) пайдалана отырып қамтамасыз етеді.</w:t>
      </w:r>
    </w:p>
    <w:bookmarkEnd w:id="36"/>
    <w:bookmarkStart w:name="z47" w:id="37"/>
    <w:p>
      <w:pPr>
        <w:spacing w:after="0"/>
        <w:ind w:left="0"/>
        <w:jc w:val="both"/>
      </w:pPr>
      <w:r>
        <w:rPr>
          <w:rFonts w:ascii="Times New Roman"/>
          <w:b w:val="false"/>
          <w:i w:val="false"/>
          <w:color w:val="000000"/>
          <w:sz w:val="28"/>
        </w:rPr>
        <w:t>
      Осы тармақтың бірінші бөлігінде көзделмеген байланыс құралдарын брокер және (немесе) дилер қызметкерлерінің клиенттермен, оның ішінде әлеуетті клиенттермен және (немесе) қызметкерлердің брокердің және (немесе) дилердің лицензияланатын қызмет түріне байланысты өздерінің лауазымдық міндеттерін орындауы кезінде туындайтын және (немесе) қолдау көрсетілетін контрагенттермен пайдалануға жол берілмейді.</w:t>
      </w:r>
    </w:p>
    <w:bookmarkEnd w:id="37"/>
    <w:bookmarkStart w:name="z48" w:id="38"/>
    <w:p>
      <w:pPr>
        <w:spacing w:after="0"/>
        <w:ind w:left="0"/>
        <w:jc w:val="both"/>
      </w:pPr>
      <w:r>
        <w:rPr>
          <w:rFonts w:ascii="Times New Roman"/>
          <w:b w:val="false"/>
          <w:i w:val="false"/>
          <w:color w:val="000000"/>
          <w:sz w:val="28"/>
        </w:rPr>
        <w:t>
      Брокер және (немесе) дилер корпоративтік байланыс құралдары арқылы алынатын және берілетін ақпараттың жазылуын, сақталуын, конфиденциалдылығын және өзгермеуін қамтамасыз етеді, сондай-ақ осы ақпараттың бес жыл бойы сақталуын қамтамасыз етеді.</w:t>
      </w:r>
    </w:p>
    <w:bookmarkEnd w:id="38"/>
    <w:bookmarkStart w:name="z49" w:id="39"/>
    <w:p>
      <w:pPr>
        <w:spacing w:after="0"/>
        <w:ind w:left="0"/>
        <w:jc w:val="both"/>
      </w:pPr>
      <w:r>
        <w:rPr>
          <w:rFonts w:ascii="Times New Roman"/>
          <w:b w:val="false"/>
          <w:i w:val="false"/>
          <w:color w:val="000000"/>
          <w:sz w:val="28"/>
        </w:rPr>
        <w:t>
      Клиенттердің корпоративтік байланыс құралдары арқылы алынатын жолданымдары және (немесе) шағымдары клиенттердің шағымдарын есепке алудың ішкі журналында және олар бойынша брокер және (немесе) дилер қабылдаған шешімдерді көрсете отырып, оларды қанағаттандыру бойынша шараларда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"21. Брокер және (немесе) дилер, сондай-ақ оның қызметкерлері қаржы құралдарымен жасалған мәмілелердің өлшемдері туралы, оның ішінде бағасы, көлемі және контрагенттер туралы расталмаған, дәйексіз немесе жаңылыстыруға алып келетін мәліметтерді масс-медиада жарияламайды және кез келген тәсілмен таратпайды.";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"22. Масс-медиада немесе өзге тәсілмен өз қызметі туралы хабарландыру жариялаған кезде брокер және (немесе) дилер өзінің толық атауын, сондай-ақ брокерлік және (немесе) дилерлік қызметті жүзеге асыруға берілген лицензияның берілген күні мен нөмірін көрсетеді.";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"36. Клиенттік тапсырыста мынадай деректемелер болады:</w:t>
      </w:r>
    </w:p>
    <w:bookmarkEnd w:id="42"/>
    <w:bookmarkStart w:name="z56" w:id="43"/>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bookmarkEnd w:id="43"/>
    <w:bookmarkStart w:name="z57" w:id="44"/>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bookmarkEnd w:id="44"/>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bookmarkStart w:name="z58" w:id="45"/>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берілген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құқықтарының сәйкестендіргіші);</w:t>
      </w:r>
    </w:p>
    <w:bookmarkEnd w:id="45"/>
    <w:bookmarkStart w:name="z59" w:id="46"/>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bookmarkEnd w:id="46"/>
    <w:bookmarkStart w:name="z60" w:id="47"/>
    <w:p>
      <w:pPr>
        <w:spacing w:after="0"/>
        <w:ind w:left="0"/>
        <w:jc w:val="both"/>
      </w:pPr>
      <w:r>
        <w:rPr>
          <w:rFonts w:ascii="Times New Roman"/>
          <w:b w:val="false"/>
          <w:i w:val="false"/>
          <w:color w:val="000000"/>
          <w:sz w:val="28"/>
        </w:rPr>
        <w:t>
      5) клиенттік тапсырыстың түріне нұсқау:</w:t>
      </w:r>
    </w:p>
    <w:bookmarkEnd w:id="47"/>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bookmarkStart w:name="z61" w:id="48"/>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bookmarkEnd w:id="48"/>
    <w:bookmarkStart w:name="z62" w:id="49"/>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bookmarkEnd w:id="49"/>
    <w:bookmarkStart w:name="z63" w:id="50"/>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bookmarkEnd w:id="50"/>
    <w:bookmarkStart w:name="z64" w:id="51"/>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bookmarkEnd w:id="51"/>
    <w:bookmarkStart w:name="z65" w:id="52"/>
    <w:p>
      <w:pPr>
        <w:spacing w:after="0"/>
        <w:ind w:left="0"/>
        <w:jc w:val="both"/>
      </w:pPr>
      <w:r>
        <w:rPr>
          <w:rFonts w:ascii="Times New Roman"/>
          <w:b w:val="false"/>
          <w:i w:val="false"/>
          <w:color w:val="000000"/>
          <w:sz w:val="28"/>
        </w:rPr>
        <w:t>
      10) уәкілетті тұлғаның (адамдардың) қолы, оның ішінде электрондық цифрлық қолтаңбасы, мөрлері, алгоритмдері, кодтары (цифрлық, әріптік, символдарды қолдана отырып және аралас), сөз-сәйкестендіргіштер немесе сәйкестендіру кодтары, шифрлау, биометриялық деректер немесе Қазақстан Республикасының заңнамасына қайшы келмейтін өзге де қорғау тәсілдері;</w:t>
      </w:r>
    </w:p>
    <w:bookmarkEnd w:id="52"/>
    <w:bookmarkStart w:name="z66" w:id="53"/>
    <w:p>
      <w:pPr>
        <w:spacing w:after="0"/>
        <w:ind w:left="0"/>
        <w:jc w:val="both"/>
      </w:pPr>
      <w:r>
        <w:rPr>
          <w:rFonts w:ascii="Times New Roman"/>
          <w:b w:val="false"/>
          <w:i w:val="false"/>
          <w:color w:val="000000"/>
          <w:sz w:val="28"/>
        </w:rPr>
        <w:t>
      11) брокердің және (немесе) дилердің ішкі құжаттарында белгіленген деректемелер.</w:t>
      </w:r>
    </w:p>
    <w:bookmarkEnd w:id="53"/>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 қызмет көрсетуі шегінде қамтамасыз етсе, осы тармақтың 8) және 9) тармақшаларында белгіленген деректемелер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"49. Брокерге және (немесе) дилерге 5 (бес) жұмыс күніне дейінгі есептік кезеңмен мәмілелер жасасуға рұқсат етіледі, бұл ретте бір тараптың қаржы құралын немесе ақшаны жеткізу жөніндегі мәміленің міндеттемелерін орындауы екінші тараптың мәміле жасалған күннен бастап 4 (төрт) жұмыс күні ішінде ақша немесе қаржы құралын жеткізу бойынша қарсы міндеттемелер мәмілесін орындауға байланысты болуы мүмкін. Брокерге және (немесе) дилерге 14 (он төрт) жұмыс күнінен аспайтын есепті кезеңмен шетелдік есеп айырысу ұйымдары арқылы жүзеге асырылатын мәмілелер жасасуға рұқсат етіледі. Көрсетілген мәмілелер бойынша есеп айырысулар Орталық депозитарий арқылы немесе "төлемге қарсы жеткізу" қағидаты бойынша шетелдік есеп айырысу ұйымдары арқылы жүзеге асырылады, бұл ретте тараптың қаржы құралдарын жеткізу жөніндегі мәміленің міндеттемелерін орындауы оның өзге қаржы құралдарын алу жөніндегі қарсы талаптарды орындауынсыз немесе орталық контрагент қызметтерін қолдана отырып мүмкін болмайды.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"52. Брокер және (немесе) дилер күнтізбелік 90 (тоқсан) күннен аспайтын мерзімдегі мәмілелерді қоспағанда (көрсетілген операциялардың бастапқы мерзімінің ұзартылуын ескере отырып), ұйымдастырылмаған нарықта шарттарында мәміленің мәні болып табылатын қаржы құралдарын кері сатып алу немесе кері сату міндеттемесі көзделген қаржы құралдарымен мәмілелер жасамайды, онда Standard &amp; Poor's (Стандарт энд Пурс) агенттігінің халықаралық шкаласы бойынша "ВВ-"-тен төмен емес ұзақ мерзімді кредиттік рейтингтік бағалауы немесе Moody's Investors Service (Мудис Инвесторс Сервис), Fitch (Фич) агенттіктерінің және (немесе) мынадай халықаралық қаржы ұйымдарының осыған ұқсас деңгейдегі рейтингтік бағалауы бар заңды тұлғалар контрагент болып табылады:</w:t>
      </w:r>
    </w:p>
    <w:bookmarkEnd w:id="55"/>
    <w:p>
      <w:pPr>
        <w:spacing w:after="0"/>
        <w:ind w:left="0"/>
        <w:jc w:val="both"/>
      </w:pPr>
      <w:r>
        <w:rPr>
          <w:rFonts w:ascii="Times New Roman"/>
          <w:b w:val="false"/>
          <w:i w:val="false"/>
          <w:color w:val="000000"/>
          <w:sz w:val="28"/>
        </w:rPr>
        <w:t xml:space="preserve">
      Азия даму банкі (the Asian Development Bank); </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72" w:id="56"/>
    <w:p>
      <w:pPr>
        <w:spacing w:after="0"/>
        <w:ind w:left="0"/>
        <w:jc w:val="both"/>
      </w:pPr>
      <w:r>
        <w:rPr>
          <w:rFonts w:ascii="Times New Roman"/>
          <w:b w:val="false"/>
          <w:i w:val="false"/>
          <w:color w:val="000000"/>
          <w:sz w:val="28"/>
        </w:rPr>
        <w:t>
      "64. Бiрiншi санатты брокерге және (немесе) дилерге тиесiлi қаржы құралдары мен ақша оның клиенттерiнiң қаржы құралдары мен ақшасынан бөлек есепке алынады. Осы мақсатта бiрiншi санатты брокер және (немесе) дилер өзіне және өзінің клиенттеріне тиесiлi қаржы құралдары мен ақшаны бөлек есептеуге және сақтауға арналған жеке шоттарды (қосалқы шоттарды) және банк шоттарын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56"/>
    <w:p>
      <w:pPr>
        <w:spacing w:after="0"/>
        <w:ind w:left="0"/>
        <w:jc w:val="both"/>
      </w:pPr>
      <w:r>
        <w:rPr>
          <w:rFonts w:ascii="Times New Roman"/>
          <w:b w:val="false"/>
          <w:i w:val="false"/>
          <w:color w:val="000000"/>
          <w:sz w:val="28"/>
        </w:rPr>
        <w:t>
      Бірінші санаттағы клиент брокері және (немесе) дилерінің қаржы құралдары мен ақшасын сақтау шетелдік есеп айырысу ұйымдарында аталған клиенттің алдын ала келісімі жазбаша (қағаз және (немесе) электрондық) нысанда және (немесе) интернет-ресурста және (немесе) бірінші санаттағы брокердің және (немесе) дилердің сауда платформасында (бағдарламалық қамтылымда) орналастырылған және (немесе) осы клиентке электрондық поштамен немесе байланыстың өзге де ықтимал түрлерімен жіберілген шетелдік есеп айырысу ұйымдарындағы қаржы құралдарымен ақшаны сақтау туралы хабарлама болған кезде ғана жүзеге асырылады.</w:t>
      </w:r>
    </w:p>
    <w:p>
      <w:pPr>
        <w:spacing w:after="0"/>
        <w:ind w:left="0"/>
        <w:jc w:val="both"/>
      </w:pPr>
      <w:r>
        <w:rPr>
          <w:rFonts w:ascii="Times New Roman"/>
          <w:b w:val="false"/>
          <w:i w:val="false"/>
          <w:color w:val="000000"/>
          <w:sz w:val="28"/>
        </w:rPr>
        <w:t>
      Бірінші санаттағы брокердің және (немесе) дилердің клиенттің хабарламаны алу және онымен танысу фактісін тіркеуі міндетті шарт болып табылады.</w:t>
      </w:r>
    </w:p>
    <w:bookmarkStart w:name="z73" w:id="57"/>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bookmarkEnd w:id="57"/>
    <w:bookmarkStart w:name="z74" w:id="58"/>
    <w:p>
      <w:pPr>
        <w:spacing w:after="0"/>
        <w:ind w:left="0"/>
        <w:jc w:val="both"/>
      </w:pPr>
      <w:r>
        <w:rPr>
          <w:rFonts w:ascii="Times New Roman"/>
          <w:b w:val="false"/>
          <w:i w:val="false"/>
          <w:color w:val="000000"/>
          <w:sz w:val="28"/>
        </w:rPr>
        <w:t xml:space="preserve">
      5.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 енгізілсін:</w:t>
      </w:r>
    </w:p>
    <w:bookmarkEnd w:id="58"/>
    <w:bookmarkStart w:name="z75" w:id="59"/>
    <w:p>
      <w:pPr>
        <w:spacing w:after="0"/>
        <w:ind w:left="0"/>
        <w:jc w:val="both"/>
      </w:pPr>
      <w:r>
        <w:rPr>
          <w:rFonts w:ascii="Times New Roman"/>
          <w:b w:val="false"/>
          <w:i w:val="false"/>
          <w:color w:val="000000"/>
          <w:sz w:val="28"/>
        </w:rPr>
        <w:t xml:space="preserve">
      осы қаулыда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 редакцияда жазылсын: </w:t>
      </w:r>
    </w:p>
    <w:bookmarkStart w:name="z77" w:id="60"/>
    <w:p>
      <w:pPr>
        <w:spacing w:after="0"/>
        <w:ind w:left="0"/>
        <w:jc w:val="both"/>
      </w:pPr>
      <w:r>
        <w:rPr>
          <w:rFonts w:ascii="Times New Roman"/>
          <w:b w:val="false"/>
          <w:i w:val="false"/>
          <w:color w:val="000000"/>
          <w:sz w:val="28"/>
        </w:rPr>
        <w:t>
      "1) жеке басын куәландыратын құжаттың көшірмесі немесе цифрлық құжаттар сервисінен жеке куәлігінің деректері (сәйкестендіру үшін);".</w:t>
      </w:r>
    </w:p>
    <w:bookmarkEnd w:id="60"/>
    <w:bookmarkStart w:name="z78" w:id="61"/>
    <w:p>
      <w:pPr>
        <w:spacing w:after="0"/>
        <w:ind w:left="0"/>
        <w:jc w:val="both"/>
      </w:pPr>
      <w:r>
        <w:rPr>
          <w:rFonts w:ascii="Times New Roman"/>
          <w:b w:val="false"/>
          <w:i w:val="false"/>
          <w:color w:val="000000"/>
          <w:sz w:val="28"/>
        </w:rPr>
        <w:t xml:space="preserve">
      6.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енгізілін: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0" w:id="62"/>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3-тармағына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9-3) тармақшасына сәйкес Қазақстан Республикасы Ұлттық Банкінің Басқармасы ҚАУЛЫ ЕТЕДІ:";</w:t>
      </w:r>
    </w:p>
    <w:bookmarkEnd w:id="62"/>
    <w:bookmarkStart w:name="z81" w:id="63"/>
    <w:p>
      <w:pPr>
        <w:spacing w:after="0"/>
        <w:ind w:left="0"/>
        <w:jc w:val="both"/>
      </w:pPr>
      <w:r>
        <w:rPr>
          <w:rFonts w:ascii="Times New Roman"/>
          <w:b w:val="false"/>
          <w:i w:val="false"/>
          <w:color w:val="000000"/>
          <w:sz w:val="28"/>
        </w:rPr>
        <w:t xml:space="preserve">
      көрсетілген қаулыда бекітілген Инвестициялық портфельді басқару жөніндегі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3" w:id="64"/>
    <w:p>
      <w:pPr>
        <w:spacing w:after="0"/>
        <w:ind w:left="0"/>
        <w:jc w:val="both"/>
      </w:pPr>
      <w:r>
        <w:rPr>
          <w:rFonts w:ascii="Times New Roman"/>
          <w:b w:val="false"/>
          <w:i w:val="false"/>
          <w:color w:val="000000"/>
          <w:sz w:val="28"/>
        </w:rPr>
        <w:t>
      "Қағидалардың мақсаты үшін халықаралық қаржы ұйымдары деп мынадай ұйымдар түсініледі:</w:t>
      </w:r>
    </w:p>
    <w:bookmarkEnd w:id="64"/>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bookmarkStart w:name="z84" w:id="65"/>
    <w:p>
      <w:pPr>
        <w:spacing w:after="0"/>
        <w:ind w:left="0"/>
        <w:jc w:val="both"/>
      </w:pPr>
      <w:r>
        <w:rPr>
          <w:rFonts w:ascii="Times New Roman"/>
          <w:b w:val="false"/>
          <w:i w:val="false"/>
          <w:color w:val="000000"/>
          <w:sz w:val="28"/>
        </w:rPr>
        <w:t xml:space="preserve">
      көрсетілген қаулыда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6" w:id="66"/>
    <w:p>
      <w:pPr>
        <w:spacing w:after="0"/>
        <w:ind w:left="0"/>
        <w:jc w:val="both"/>
      </w:pPr>
      <w:r>
        <w:rPr>
          <w:rFonts w:ascii="Times New Roman"/>
          <w:b w:val="false"/>
          <w:i w:val="false"/>
          <w:color w:val="000000"/>
          <w:sz w:val="28"/>
        </w:rPr>
        <w:t>
      "нвестициялық портфельді басқарушының өтімділігі жоғары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 1.2, 1.4, 1.5, 1.6, 1.7, 1.8, 1.9,1.10,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66"/>
    <w:bookmarkStart w:name="z87" w:id="67"/>
    <w:p>
      <w:pPr>
        <w:spacing w:after="0"/>
        <w:ind w:left="0"/>
        <w:jc w:val="both"/>
      </w:pPr>
      <w:r>
        <w:rPr>
          <w:rFonts w:ascii="Times New Roman"/>
          <w:b w:val="false"/>
          <w:i w:val="false"/>
          <w:color w:val="000000"/>
          <w:sz w:val="28"/>
        </w:rPr>
        <w:t>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1.3, 1.11, 2.5, 2.6, 2.7, 2.9, 2.12, 2.13, 2.15, 2.16, 3.3, 3.4, 3.6, 3.7, 4.1, 4.2, 4.3, 4.5-жолдарында көрсетілген активтер (репо операцияларының мәні болып табылатын бағалы қағаздарды қоспағанда) тиісті көлемдерде танылады.</w:t>
      </w:r>
    </w:p>
    <w:bookmarkEnd w:id="67"/>
    <w:bookmarkStart w:name="z88" w:id="68"/>
    <w:p>
      <w:pPr>
        <w:spacing w:after="0"/>
        <w:ind w:left="0"/>
        <w:jc w:val="both"/>
      </w:pPr>
      <w:r>
        <w:rPr>
          <w:rFonts w:ascii="Times New Roman"/>
          <w:b w:val="false"/>
          <w:i w:val="false"/>
          <w:color w:val="000000"/>
          <w:sz w:val="28"/>
        </w:rPr>
        <w:t>
      Инвестициялық портфельді басқарушы әртараптандыру нормативін сақтайды, бұл ретте бір эмитентке және оның үлестес тұлғаларына инвестициялар көлемі инвестициялық портфельді басқарушының жиынтық өтімді активтерінің 20%-нан аспайды.</w:t>
      </w:r>
    </w:p>
    <w:bookmarkEnd w:id="68"/>
    <w:bookmarkStart w:name="z89" w:id="69"/>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Қазақстан Республикасының мемлекеттік бағалы қағаздарына, сондай-ақ орталық контрагенттің қатысуымен жасалған "кері репо" операциясының мәні болып табылатын бағалы қағаздарға қатысты қолданылмайды.".</w:t>
      </w:r>
    </w:p>
    <w:bookmarkEnd w:id="69"/>
    <w:bookmarkStart w:name="z90" w:id="70"/>
    <w:p>
      <w:pPr>
        <w:spacing w:after="0"/>
        <w:ind w:left="0"/>
        <w:jc w:val="both"/>
      </w:pPr>
      <w:r>
        <w:rPr>
          <w:rFonts w:ascii="Times New Roman"/>
          <w:b w:val="false"/>
          <w:i w:val="false"/>
          <w:color w:val="000000"/>
          <w:sz w:val="28"/>
        </w:rPr>
        <w:t xml:space="preserve">
      7.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2" w:id="71"/>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және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Қазақстан Республикасы Ұлттық Банкінің Басқармасы ҚАУЛЫ ЕТЕДІ:";</w:t>
      </w:r>
    </w:p>
    <w:bookmarkEnd w:id="71"/>
    <w:bookmarkStart w:name="z93" w:id="72"/>
    <w:p>
      <w:pPr>
        <w:spacing w:after="0"/>
        <w:ind w:left="0"/>
        <w:jc w:val="both"/>
      </w:pPr>
      <w:r>
        <w:rPr>
          <w:rFonts w:ascii="Times New Roman"/>
          <w:b w:val="false"/>
          <w:i w:val="false"/>
          <w:color w:val="000000"/>
          <w:sz w:val="28"/>
        </w:rPr>
        <w:t xml:space="preserve">
      көрсетілген қаулыда бекітілген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95" w:id="73"/>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73"/>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bookmarkStart w:name="z96" w:id="74"/>
    <w:p>
      <w:pPr>
        <w:spacing w:after="0"/>
        <w:ind w:left="0"/>
        <w:jc w:val="both"/>
      </w:pPr>
      <w:r>
        <w:rPr>
          <w:rFonts w:ascii="Times New Roman"/>
          <w:b w:val="false"/>
          <w:i w:val="false"/>
          <w:color w:val="000000"/>
          <w:sz w:val="28"/>
        </w:rPr>
        <w:t xml:space="preserve">
      көрсетілген қаулыда бекітілген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8" w:id="75"/>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75"/>
    <w:bookmarkStart w:name="z99" w:id="76"/>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(репо операцияларының мәні болып табылатын бағалы қағаздарды қоспағанда) брокердің және (немесе) дилердің өтімді активтері ретінде танылады.</w:t>
      </w:r>
    </w:p>
    <w:bookmarkEnd w:id="76"/>
    <w:p>
      <w:pPr>
        <w:spacing w:after="0"/>
        <w:ind w:left="0"/>
        <w:jc w:val="both"/>
      </w:pPr>
      <w:r>
        <w:rPr>
          <w:rFonts w:ascii="Times New Roman"/>
          <w:b w:val="false"/>
          <w:i w:val="false"/>
          <w:color w:val="000000"/>
          <w:sz w:val="28"/>
        </w:rPr>
        <w:t>
      Брокер және (немесе) дилер бір эмитентке және оның үлестес тұлғаларына инвестициялар көлемі брокердің және (немесе) дилердің жиынтық өтімді активтерінің 20%-нан аспайтын әртараптандыру нормативін сақтайды.</w:t>
      </w:r>
    </w:p>
    <w:bookmarkStart w:name="z100" w:id="77"/>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орталық контрагенттің қатысуымен жасалған "кері репо" операциясының мәні болып табылатын бағалы қағаздарға қатысты қолданылмайды.".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1-ИПБ немесе 2-ИПБ өтімділігі жоғары активтер есебіне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1.1, 1.2, 1.4, 1.5, 1.6, 1.7, 1.8, 1.9, 1.10,1.12, 1.13, 2.1, 2.2, 2.3, 2.4, 2.8, 2.10, 2.11, 2.14, 3.1, 3.2, 3.5, 4.4, 5.1, 5.2, 5.3, 5.4 (репо операцияларының нысанасы болып табылатын бағалы қағаздарды қоспағанда) тиісті көлемдегі активтер кіреді.</w:t>
      </w:r>
    </w:p>
    <w:bookmarkEnd w:id="78"/>
    <w:bookmarkStart w:name="z103" w:id="79"/>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1.3, 1.11, 2.5, 2.6, 2.7, 2.9, 2.12, 2.13, 2.15, 2.16, 3.3,3.4, 3.6, 3.7, 4.1, 4.2, 4.3, 4.5 (репо операцияларының нысанасы болып табылатын бағалы қағаздарды қоспағанда) тиісті көлемдегі активтер 1-ИПБ немесе 2-ИПБ өтімді активтері ретінде танылады.</w:t>
      </w:r>
    </w:p>
    <w:bookmarkEnd w:id="79"/>
    <w:bookmarkStart w:name="z104" w:id="80"/>
    <w:p>
      <w:pPr>
        <w:spacing w:after="0"/>
        <w:ind w:left="0"/>
        <w:jc w:val="both"/>
      </w:pPr>
      <w:r>
        <w:rPr>
          <w:rFonts w:ascii="Times New Roman"/>
          <w:b w:val="false"/>
          <w:i w:val="false"/>
          <w:color w:val="000000"/>
          <w:sz w:val="28"/>
        </w:rPr>
        <w:t>
      1-ИПБ немесе 2-ИПБ әртараптандыру нормативін сақтайды, бұл ретте бір эмитентке және оның үлестес тұлғаларына инвестициялар көлемі 1-ИПБ немесе 2-ИПБ жиынтық өтімді активтерінің 20%-нан аспайды.</w:t>
      </w:r>
    </w:p>
    <w:bookmarkEnd w:id="80"/>
    <w:bookmarkStart w:name="z105" w:id="81"/>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орталық контрагенттің қатысуымен жасалған "кері репо" операциясының мәні болып табылатын бағалы қағаздарға қатысты қолданылмайды.".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