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cafb" w14:textId="96ec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23 желтоқсандағы № 164 бұйрығы. Қазақстан Республикасының Әділет министрлігінде 2025 жылғы 24 желтоқсанда № 37672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Ғылыми-педагогикалық бағыт бойынша магистратураға, оның ішінде қашықтан оқытуға жоғары білім берудің білім беру бағдарламаларын меңгерген және құқық қорғау органдарында кемінде бір жыл практикалық жұмыс өтілі бар Қазақстан Республикасы құқық қорғау органдарының қызметкерлері және әскери қызметшілері қабылданады.</w:t>
      </w:r>
    </w:p>
    <w:bookmarkEnd w:id="3"/>
    <w:bookmarkStart w:name="z9" w:id="4"/>
    <w:p>
      <w:pPr>
        <w:spacing w:after="0"/>
        <w:ind w:left="0"/>
        <w:jc w:val="both"/>
      </w:pPr>
      <w:r>
        <w:rPr>
          <w:rFonts w:ascii="Times New Roman"/>
          <w:b w:val="false"/>
          <w:i w:val="false"/>
          <w:color w:val="000000"/>
          <w:sz w:val="28"/>
        </w:rPr>
        <w:t>
      Бейіндік бағыт бойынша магистратураға, оның ішінде қашықтан оқытуға жоғары білім берудің білім беру бағдарламаларын меңгерген және құқық қорғау органдарында кемінде екі жыл практикалық жұмыс өтілі бар Қазақстан Республикасы құқық қорғау органдарының қызметкерлері және әскери қызметшілері қабылданады.</w:t>
      </w:r>
    </w:p>
    <w:bookmarkEnd w:id="4"/>
    <w:bookmarkStart w:name="z10" w:id="5"/>
    <w:p>
      <w:pPr>
        <w:spacing w:after="0"/>
        <w:ind w:left="0"/>
        <w:jc w:val="both"/>
      </w:pPr>
      <w:r>
        <w:rPr>
          <w:rFonts w:ascii="Times New Roman"/>
          <w:b w:val="false"/>
          <w:i w:val="false"/>
          <w:color w:val="000000"/>
          <w:sz w:val="28"/>
        </w:rPr>
        <w:t>
      Ғылыми-педагогикалық және бейіндік бағыттар бойынша магистратураға, оның ішінде қашықтан оқытуға жоғары білім берудің білім беру бағдарламаларын меңгерген Қазақстан Республикасының азаматтары және шетел азаматтары қабылданады.";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"9. Ғылыми-педагогикалық бағыт бойынша докторантураға, оның ішінде қашықтан оқытуға құқық қорғау қызметіңде кемінде бес жыл немесе мемлекеттік қызметте кемінде бес жыл, оның ішінде құқық қорғау органдарында лауазымдарда кемінде үш жыл өтілі бар және "магистр" дәрежесі бар Қазақстан Республикасы құқық қорғау органдарының қызметкерлері және әскери қызметшілері қабылданады. </w:t>
      </w:r>
    </w:p>
    <w:bookmarkEnd w:id="6"/>
    <w:bookmarkStart w:name="z13" w:id="7"/>
    <w:p>
      <w:pPr>
        <w:spacing w:after="0"/>
        <w:ind w:left="0"/>
        <w:jc w:val="both"/>
      </w:pPr>
      <w:r>
        <w:rPr>
          <w:rFonts w:ascii="Times New Roman"/>
          <w:b w:val="false"/>
          <w:i w:val="false"/>
          <w:color w:val="000000"/>
          <w:sz w:val="28"/>
        </w:rPr>
        <w:t>
      Бейіндік бағыттағы магистратураны бітірген адамдар ғылыми-педагогикалық магистратураның педагогикалық бейіндегі жоғары оқу орнынан кейінгі білімнің білім беру бағдарламасын олар қосымша игерген кезде қабылданады.</w:t>
      </w:r>
    </w:p>
    <w:bookmarkEnd w:id="7"/>
    <w:bookmarkStart w:name="z14" w:id="8"/>
    <w:p>
      <w:pPr>
        <w:spacing w:after="0"/>
        <w:ind w:left="0"/>
        <w:jc w:val="both"/>
      </w:pPr>
      <w:r>
        <w:rPr>
          <w:rFonts w:ascii="Times New Roman"/>
          <w:b w:val="false"/>
          <w:i w:val="false"/>
          <w:color w:val="000000"/>
          <w:sz w:val="28"/>
        </w:rPr>
        <w:t>
      Бейіндік докторантураға, оның ішінде қашықтан оқытуға құқық қорғау қызметінде кемінде бес жыл немесе мемлекеттік қызметте кемінде бес жыл, оның ішінде құқық қорғау органдарында лауазымдарда кемінде үш жыл өтілі бар және "магистр" дәрежесі бар немесе бейіндік магистратураға теңестірілген арнайы жоғары білімді меңгерген Қазақстан Республикасы құқық қорғау органдарының қызметкерлері және әскери қызметшілері қабылданады.</w:t>
      </w:r>
    </w:p>
    <w:bookmarkEnd w:id="8"/>
    <w:bookmarkStart w:name="z15" w:id="9"/>
    <w:p>
      <w:pPr>
        <w:spacing w:after="0"/>
        <w:ind w:left="0"/>
        <w:jc w:val="both"/>
      </w:pPr>
      <w:r>
        <w:rPr>
          <w:rFonts w:ascii="Times New Roman"/>
          <w:b w:val="false"/>
          <w:i w:val="false"/>
          <w:color w:val="000000"/>
          <w:sz w:val="28"/>
        </w:rPr>
        <w:t>
      Ғылыми-педагогикалық және бейіндік бағыттағы докторантураға, оның ішінде қашықтан оқытуға "магистр" дәрежесі немесе бейіндік магистратураға теңестірілген арнайы жоғары білімі бар Қазақстан Республикасының азаматтары және шетел азаматтары қабылданады.";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"12. Қабылдау комиссиясы:</w:t>
      </w:r>
    </w:p>
    <w:bookmarkEnd w:id="10"/>
    <w:bookmarkStart w:name="z18" w:id="11"/>
    <w:p>
      <w:pPr>
        <w:spacing w:after="0"/>
        <w:ind w:left="0"/>
        <w:jc w:val="both"/>
      </w:pPr>
      <w:r>
        <w:rPr>
          <w:rFonts w:ascii="Times New Roman"/>
          <w:b w:val="false"/>
          <w:i w:val="false"/>
          <w:color w:val="000000"/>
          <w:sz w:val="28"/>
        </w:rPr>
        <w:t>
      1) осы Қағидалардың 15 және 16-тармақтарында көрсетілген ұсынылған құжаттардың толықтығын тексереді және үміткерлердің осы Қағидалардың 8 және 9-тармақтарының талаптарына сәйкестігін айқындайды.</w:t>
      </w:r>
    </w:p>
    <w:bookmarkEnd w:id="11"/>
    <w:bookmarkStart w:name="z19" w:id="12"/>
    <w:p>
      <w:pPr>
        <w:spacing w:after="0"/>
        <w:ind w:left="0"/>
        <w:jc w:val="both"/>
      </w:pPr>
      <w:r>
        <w:rPr>
          <w:rFonts w:ascii="Times New Roman"/>
          <w:b w:val="false"/>
          <w:i w:val="false"/>
          <w:color w:val="000000"/>
          <w:sz w:val="28"/>
        </w:rPr>
        <w:t>
      2) оқуға түсуге үміткерлердің тізімін қалыптастырады;</w:t>
      </w:r>
    </w:p>
    <w:bookmarkEnd w:id="12"/>
    <w:bookmarkStart w:name="z20" w:id="13"/>
    <w:p>
      <w:pPr>
        <w:spacing w:after="0"/>
        <w:ind w:left="0"/>
        <w:jc w:val="both"/>
      </w:pPr>
      <w:r>
        <w:rPr>
          <w:rFonts w:ascii="Times New Roman"/>
          <w:b w:val="false"/>
          <w:i w:val="false"/>
          <w:color w:val="000000"/>
          <w:sz w:val="28"/>
        </w:rPr>
        <w:t>
      3) емтихандық комиссия жұмысының нәтижелерін ескере отырып, Академияның магистранттары мен докторанттарының қатарына қабылдау туралы мәселені қарастырады;</w:t>
      </w:r>
    </w:p>
    <w:bookmarkEnd w:id="13"/>
    <w:bookmarkStart w:name="z21" w:id="14"/>
    <w:p>
      <w:pPr>
        <w:spacing w:after="0"/>
        <w:ind w:left="0"/>
        <w:jc w:val="both"/>
      </w:pPr>
      <w:r>
        <w:rPr>
          <w:rFonts w:ascii="Times New Roman"/>
          <w:b w:val="false"/>
          <w:i w:val="false"/>
          <w:color w:val="000000"/>
          <w:sz w:val="28"/>
        </w:rPr>
        <w:t>
      4) оқуға үміткерлерді қабылдау қорытындыларын талдайды және жұмысты одан әрі жетілдіру бойынша ұсыныстарды қалыптастырады.".</w:t>
      </w:r>
    </w:p>
    <w:bookmarkEnd w:id="14"/>
    <w:bookmarkStart w:name="z22" w:id="15"/>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15"/>
    <w:bookmarkStart w:name="z23"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4"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интернет-ресурсында орналастыруды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Академияның ректорына жүктелсін.</w:t>
      </w:r>
    </w:p>
    <w:bookmarkEnd w:id="18"/>
    <w:bookmarkStart w:name="z26" w:id="19"/>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