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d609" w14:textId="553d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анықтау ережесін бекіту туралы" Қазақстан Республикасы Экономика және бюджеттік жоспарлау министрінің 2009 жылғы 6 тамыздағы № 166 және Қазақстан Республикасы Қаржы министрінің 2009 жылғы 25 тамыздағы № 351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9 желтоқсандағы № 131 және Қазақстан Республикасы Қаржы министрінің 2025 жылғы 10 желтоқсандағы № 765 бірлескен бұйрығы. Қазақстан Республикасының Әділет министрлігінде 2025 жылғы 15 қарашада № 37589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анықтау ережесін бекіту туралы" Қазақстан Республикасы Экономика және бюджеттік жоспарлау министрінің 2009 жылғы 6 тамыздағы № 166 және Қазақстан Республикасы Қаржы министрінің 2009 жылғы 25 тамыздағы № 351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5797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Халықаралық экономикалық ынтамақтастық департаменті Қазақстан Республикасының заңнамасында белгіленген тәртіппен осы бірлескен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