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8933" w14:textId="31f8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 шығаруды қаржыландыру қағидаларын және қаржыландыру көлемдерінің нормативтерін бекіту туралы" Қазақстан Республикасы Мәдениет және спорт министрінің 2019 жылғы 17 мамырдағы № 140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10 қарашадағы № 605-НҚ бұйрығы. Қазақстан Республикасының Әділет министрлігінде 2025 жылғы 11 қарашада № 37378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фильмдер деп танылуға үмітті киножобалар шығаруды қаржыландыру қағидаларын және қаржыландыру көлемдерінің нормативтерін бекіту туралы" Қазақстан Республикасы Мәдениет және спорт министрінің 2019 жылғы 17 мамырдағы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18697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1-қосымшамен бекітілген Ұлттық фильмдер деп танылуға үмітті киножобалар шығаруды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"6) Ұлттық киноны қолдау мемлекеттік орталығы –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және кинематография саласындағы субсидияларды төлеу жөніндегі бірыңғай оператор (бұдан әрі – бірыңғай оператор).".</w:t>
      </w:r>
    </w:p>
    <w:bookmarkEnd w:id="4"/>
    <w:bookmarkStart w:name="z9" w:id="5"/>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bookmarkStart w:name="z14" w:id="10"/>
    <w:p>
      <w:pPr>
        <w:spacing w:after="0"/>
        <w:ind w:left="0"/>
        <w:jc w:val="both"/>
      </w:pPr>
      <w:r>
        <w:rPr>
          <w:rFonts w:ascii="Times New Roman"/>
          <w:b w:val="false"/>
          <w:i w:val="false"/>
          <w:color w:val="000000"/>
          <w:sz w:val="28"/>
        </w:rPr>
        <w:t xml:space="preserve">
      Бұл ретте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абзацы 2026 жылғы 1 қаңтардан бастап мынадай редакцияда қолданылады деп белгіленсін:</w:t>
      </w:r>
    </w:p>
    <w:bookmarkEnd w:id="10"/>
    <w:bookmarkStart w:name="z15" w:id="11"/>
    <w:p>
      <w:pPr>
        <w:spacing w:after="0"/>
        <w:ind w:left="0"/>
        <w:jc w:val="both"/>
      </w:pPr>
      <w:r>
        <w:rPr>
          <w:rFonts w:ascii="Times New Roman"/>
          <w:b w:val="false"/>
          <w:i w:val="false"/>
          <w:color w:val="000000"/>
          <w:sz w:val="28"/>
        </w:rPr>
        <w:t>
      "6) Ұлттық киноны қолдау мемлекеттік орталығы –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жөніндегі бірыңғай оператор (бұдан әрі – бірыңғай оператор).".</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Қаржы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Ұлттық экономика министрлігі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