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4a84c" w14:textId="824a8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міндетін атқарушысының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қағидаларын бекіту туралы" 2015 жылғы 27 ақпандағы № 18-03/143 бұйрығына және Қазақстан Республикасы Премьер-Министрінің орынбасары – Қазақстан Республикасы Ауыл шаруашылығы министрінің "Жануарлардың санын реттеу қағидаларын бекіту туралы" 2017 жылғы 5 желтоқсандағы № 480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2025 жылғы 22 қазандағы № 282 бұйрығы. Қазақстан Республикасының Әділет министрлігінде 2025 жылғы 24 қазанда № 37212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Қазақстан Республикасы Ауыл шаруашылығы министрінің міндетін атқарушысының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қағидаларын бекіту туралы" 2015 жылғы 27 ақпандағы № 18-03/143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11935 болып тіркелген)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"6.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мемлекеттік қызметті (бұдан әрі – мемлекеттік көрсетілетін қызмет) Қазақстан Республикасы Экология және табиғи ресурстар министрлігі Орман шаруашылығы және жануарлар дүниесі комитеті атынан әкімшілік орган (бұдан әрі – көрсетілетін қызметті беруші) көрсетеді.</w:t>
      </w:r>
    </w:p>
    <w:bookmarkEnd w:id="3"/>
    <w:bookmarkStart w:name="z10" w:id="4"/>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 тізбесі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баяндалған."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12" w:id="5"/>
    <w:p>
      <w:pPr>
        <w:spacing w:after="0"/>
        <w:ind w:left="0"/>
        <w:jc w:val="both"/>
      </w:pPr>
      <w:r>
        <w:rPr>
          <w:rFonts w:ascii="Times New Roman"/>
          <w:b w:val="false"/>
          <w:i w:val="false"/>
          <w:color w:val="000000"/>
          <w:sz w:val="28"/>
        </w:rPr>
        <w:t xml:space="preserve">
      2. Қазақстан Республикасы Премьер-Министрінің орынбасары – Қазақстан Республикасы Ауыл шаруашылығы министрінің "Жануарлардың санын реттеу қағидаларын бекіту туралы" 2017 жылғы 5 желтоқсандағы № 480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16115 болып тіркелген) мынадай өзгеріс енгізілсін:</w:t>
      </w:r>
    </w:p>
    <w:bookmarkEnd w:id="5"/>
    <w:bookmarkStart w:name="z13" w:id="6"/>
    <w:p>
      <w:pPr>
        <w:spacing w:after="0"/>
        <w:ind w:left="0"/>
        <w:jc w:val="both"/>
      </w:pPr>
      <w:r>
        <w:rPr>
          <w:rFonts w:ascii="Times New Roman"/>
          <w:b w:val="false"/>
          <w:i w:val="false"/>
          <w:color w:val="000000"/>
          <w:sz w:val="28"/>
        </w:rPr>
        <w:t xml:space="preserve">
      көрсетілген бұйрықпен бекітілген Жануарлар санын реттеу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4) тармақшасы алынып тасталсын.</w:t>
      </w:r>
    </w:p>
    <w:bookmarkStart w:name="z15" w:id="7"/>
    <w:p>
      <w:pPr>
        <w:spacing w:after="0"/>
        <w:ind w:left="0"/>
        <w:jc w:val="both"/>
      </w:pPr>
      <w:r>
        <w:rPr>
          <w:rFonts w:ascii="Times New Roman"/>
          <w:b w:val="false"/>
          <w:i w:val="false"/>
          <w:color w:val="000000"/>
          <w:sz w:val="28"/>
        </w:rPr>
        <w:t>
      3. Қазақстан Республикасы Экология және табиғи ресурстар министрлігі Орман шаруашылығы және жануарлар дүниесі комитеті заңнамада белгіленген тәртіппен:</w:t>
      </w:r>
    </w:p>
    <w:bookmarkEnd w:id="7"/>
    <w:bookmarkStart w:name="z16"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7" w:id="9"/>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9"/>
    <w:bookmarkStart w:name="z18" w:id="10"/>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Экология және табиғи ресурстар министрлігінің Заң қызметі департаментіне ұсынылуын қамтамасыз етсін.</w:t>
      </w:r>
    </w:p>
    <w:bookmarkEnd w:id="10"/>
    <w:bookmarkStart w:name="z19" w:id="1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және табиғи ресурстар вице-министріне жүктелсін.</w:t>
      </w:r>
    </w:p>
    <w:bookmarkEnd w:id="11"/>
    <w:bookmarkStart w:name="z20"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Экология және табиғи</w:t>
            </w:r>
          </w:p>
          <w:p>
            <w:pPr>
              <w:spacing w:after="0"/>
              <w:ind w:left="0"/>
              <w:jc w:val="left"/>
            </w:pPr>
          </w:p>
          <w:p>
            <w:pPr>
              <w:spacing w:after="20"/>
              <w:ind w:left="20"/>
              <w:jc w:val="both"/>
            </w:pPr>
            <w:r>
              <w:rPr>
                <w:rFonts w:ascii="Times New Roman"/>
                <w:b w:val="false"/>
                <w:i/>
                <w:color w:val="000000"/>
                <w:sz w:val="20"/>
              </w:rPr>
              <w:t xml:space="preserve">ресурстар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Шарбиев</w:t>
            </w:r>
            <w:r>
              <w:rPr>
                <w:rFonts w:ascii="Times New Roman"/>
                <w:b w:val="false"/>
                <w:i w:val="false"/>
                <w:color w:val="000000"/>
                <w:sz w:val="20"/>
              </w:rPr>
              <w:t>
</w:t>
            </w:r>
          </w:p>
        </w:tc>
      </w:tr>
    </w:tbl>
    <w:p>
      <w:pPr>
        <w:spacing w:after="0"/>
        <w:ind w:left="0"/>
        <w:jc w:val="both"/>
      </w:pPr>
      <w:bookmarkStart w:name="z22" w:id="13"/>
      <w:r>
        <w:rPr>
          <w:rFonts w:ascii="Times New Roman"/>
          <w:b w:val="false"/>
          <w:i w:val="false"/>
          <w:color w:val="000000"/>
          <w:sz w:val="28"/>
        </w:rPr>
        <w:t>
      "КЕЛІСІЛГЕН"</w:t>
      </w:r>
    </w:p>
    <w:bookmarkEnd w:id="13"/>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Ауыл шаруашылығы министрлігі</w:t>
      </w:r>
    </w:p>
    <w:p>
      <w:pPr>
        <w:spacing w:after="0"/>
        <w:ind w:left="0"/>
        <w:jc w:val="both"/>
      </w:pPr>
      <w:bookmarkStart w:name="z23" w:id="14"/>
      <w:r>
        <w:rPr>
          <w:rFonts w:ascii="Times New Roman"/>
          <w:b w:val="false"/>
          <w:i w:val="false"/>
          <w:color w:val="000000"/>
          <w:sz w:val="28"/>
        </w:rPr>
        <w:t>
      "КЕЛІСІЛГЕН"</w:t>
      </w:r>
    </w:p>
    <w:bookmarkEnd w:id="14"/>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24" w:id="15"/>
      <w:r>
        <w:rPr>
          <w:rFonts w:ascii="Times New Roman"/>
          <w:b w:val="false"/>
          <w:i w:val="false"/>
          <w:color w:val="000000"/>
          <w:sz w:val="28"/>
        </w:rPr>
        <w:t>
      "КЕЛІСІЛГЕН"</w:t>
      </w:r>
    </w:p>
    <w:bookmarkEnd w:id="15"/>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Цифрлық даму, инновациялар және </w:t>
      </w:r>
    </w:p>
    <w:p>
      <w:pPr>
        <w:spacing w:after="0"/>
        <w:ind w:left="0"/>
        <w:jc w:val="both"/>
      </w:pPr>
      <w:r>
        <w:rPr>
          <w:rFonts w:ascii="Times New Roman"/>
          <w:b w:val="false"/>
          <w:i w:val="false"/>
          <w:color w:val="000000"/>
          <w:sz w:val="28"/>
        </w:rPr>
        <w:t>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2025 жылғы 22 қазандағы № 282</w:t>
            </w:r>
            <w:r>
              <w:br/>
            </w:r>
            <w:r>
              <w:rPr>
                <w:rFonts w:ascii="Times New Roman"/>
                <w:b w:val="false"/>
                <w:i w:val="false"/>
                <w:color w:val="000000"/>
                <w:sz w:val="20"/>
              </w:rPr>
              <w:t>бұйрығына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w:t>
            </w:r>
            <w:r>
              <w:rPr>
                <w:rFonts w:ascii="Times New Roman"/>
                <w:b/>
                <w:i w:val="false"/>
                <w:color w:val="000000"/>
                <w:sz w:val="20"/>
              </w:rPr>
              <w:t>Құрып</w:t>
            </w:r>
            <w:r>
              <w:rPr>
                <w:rFonts w:ascii="Times New Roman"/>
                <w:b/>
                <w:i w:val="false"/>
                <w:color w:val="000000"/>
                <w:sz w:val="20"/>
              </w:rPr>
              <w:t xml:space="preserve"> кету </w:t>
            </w:r>
            <w:r>
              <w:rPr>
                <w:rFonts w:ascii="Times New Roman"/>
                <w:b/>
                <w:i w:val="false"/>
                <w:color w:val="000000"/>
                <w:sz w:val="20"/>
              </w:rPr>
              <w:t>қаупі</w:t>
            </w:r>
            <w:r>
              <w:rPr>
                <w:rFonts w:ascii="Times New Roman"/>
                <w:b w:val="false"/>
                <w:i w:val="false"/>
                <w:color w:val="000000"/>
                <w:sz w:val="20"/>
              </w:rPr>
              <w:t xml:space="preserve"> </w:t>
            </w:r>
            <w:r>
              <w:rPr>
                <w:rFonts w:ascii="Times New Roman"/>
                <w:b/>
                <w:i w:val="false"/>
                <w:color w:val="000000"/>
                <w:sz w:val="20"/>
              </w:rPr>
              <w:t>төнген</w:t>
            </w:r>
            <w:r>
              <w:rPr>
                <w:rFonts w:ascii="Times New Roman"/>
                <w:b w:val="false"/>
                <w:i w:val="false"/>
                <w:color w:val="000000"/>
                <w:sz w:val="20"/>
              </w:rPr>
              <w:t xml:space="preserve"> </w:t>
            </w:r>
            <w:r>
              <w:rPr>
                <w:rFonts w:ascii="Times New Roman"/>
                <w:b/>
                <w:i w:val="false"/>
                <w:color w:val="000000"/>
                <w:sz w:val="20"/>
              </w:rPr>
              <w:t>жабайы</w:t>
            </w:r>
          </w:p>
          <w:bookmarkEnd w:id="16"/>
          <w:p>
            <w:pPr>
              <w:spacing w:after="20"/>
              <w:ind w:left="20"/>
              <w:jc w:val="both"/>
            </w:pPr>
            <w:r>
              <w:rPr>
                <w:rFonts w:ascii="Times New Roman"/>
                <w:b/>
                <w:i w:val="false"/>
                <w:color w:val="000000"/>
                <w:sz w:val="20"/>
              </w:rPr>
              <w:t xml:space="preserve">фауна мен флора </w:t>
            </w:r>
            <w:r>
              <w:rPr>
                <w:rFonts w:ascii="Times New Roman"/>
                <w:b/>
                <w:i w:val="false"/>
                <w:color w:val="000000"/>
                <w:sz w:val="20"/>
              </w:rPr>
              <w:t>түрлерімен</w:t>
            </w:r>
          </w:p>
          <w:p>
            <w:pPr>
              <w:spacing w:after="20"/>
              <w:ind w:left="20"/>
              <w:jc w:val="both"/>
            </w:pP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с</w:t>
            </w:r>
            <w:r>
              <w:rPr>
                <w:rFonts w:ascii="Times New Roman"/>
                <w:b/>
                <w:i w:val="false"/>
                <w:color w:val="000000"/>
                <w:sz w:val="20"/>
              </w:rPr>
              <w:t>ауда</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конвенцияның</w:t>
            </w:r>
          </w:p>
          <w:p>
            <w:pPr>
              <w:spacing w:after="20"/>
              <w:ind w:left="20"/>
              <w:jc w:val="both"/>
            </w:pPr>
            <w:r>
              <w:rPr>
                <w:rFonts w:ascii="Times New Roman"/>
                <w:b/>
                <w:i w:val="false"/>
                <w:color w:val="000000"/>
                <w:sz w:val="20"/>
              </w:rPr>
              <w:t>күші</w:t>
            </w:r>
            <w:r>
              <w:rPr>
                <w:rFonts w:ascii="Times New Roman"/>
                <w:b w:val="false"/>
                <w:i w:val="false"/>
                <w:color w:val="000000"/>
                <w:sz w:val="20"/>
              </w:rPr>
              <w:t xml:space="preserve"> </w:t>
            </w:r>
            <w:r>
              <w:rPr>
                <w:rFonts w:ascii="Times New Roman"/>
                <w:b/>
                <w:i w:val="false"/>
                <w:color w:val="000000"/>
                <w:sz w:val="20"/>
              </w:rPr>
              <w:t>қолданылатын</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түрлерін</w:t>
            </w:r>
          </w:p>
          <w:p>
            <w:pPr>
              <w:spacing w:after="20"/>
              <w:ind w:left="20"/>
              <w:jc w:val="both"/>
            </w:pP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p>
          <w:p>
            <w:pPr>
              <w:spacing w:after="20"/>
              <w:ind w:left="20"/>
              <w:jc w:val="both"/>
            </w:pPr>
            <w:r>
              <w:rPr>
                <w:rFonts w:ascii="Times New Roman"/>
                <w:b/>
                <w:i w:val="false"/>
                <w:color w:val="000000"/>
                <w:sz w:val="20"/>
              </w:rPr>
              <w:t>аумағына</w:t>
            </w:r>
            <w:r>
              <w:rPr>
                <w:rFonts w:ascii="Times New Roman"/>
                <w:b w:val="false"/>
                <w:i w:val="false"/>
                <w:color w:val="000000"/>
                <w:sz w:val="20"/>
              </w:rPr>
              <w:t xml:space="preserve"> </w:t>
            </w:r>
            <w:r>
              <w:rPr>
                <w:rFonts w:ascii="Times New Roman"/>
                <w:b/>
                <w:i w:val="false"/>
                <w:color w:val="000000"/>
                <w:sz w:val="20"/>
              </w:rPr>
              <w:t>импорттауға</w:t>
            </w:r>
            <w:r>
              <w:rPr>
                <w:rFonts w:ascii="Times New Roman"/>
                <w:b/>
                <w:i w:val="false"/>
                <w:color w:val="000000"/>
                <w:sz w:val="20"/>
              </w:rPr>
              <w:t>,</w:t>
            </w:r>
          </w:p>
          <w:p>
            <w:pPr>
              <w:spacing w:after="20"/>
              <w:ind w:left="20"/>
              <w:jc w:val="both"/>
            </w:pP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p>
          <w:p>
            <w:pPr>
              <w:spacing w:after="20"/>
              <w:ind w:left="20"/>
              <w:jc w:val="both"/>
            </w:pPr>
            <w:r>
              <w:rPr>
                <w:rFonts w:ascii="Times New Roman"/>
                <w:b/>
                <w:i w:val="false"/>
                <w:color w:val="000000"/>
                <w:sz w:val="20"/>
              </w:rPr>
              <w:t>аумағынан</w:t>
            </w:r>
            <w:r>
              <w:rPr>
                <w:rFonts w:ascii="Times New Roman"/>
                <w:b w:val="false"/>
                <w:i w:val="false"/>
                <w:color w:val="000000"/>
                <w:sz w:val="20"/>
              </w:rPr>
              <w:t xml:space="preserve"> </w:t>
            </w:r>
            <w:r>
              <w:rPr>
                <w:rFonts w:ascii="Times New Roman"/>
                <w:b/>
                <w:i w:val="false"/>
                <w:color w:val="000000"/>
                <w:sz w:val="20"/>
              </w:rPr>
              <w:t>экспорттауға</w:t>
            </w:r>
            <w:r>
              <w:rPr>
                <w:rFonts w:ascii="Times New Roman"/>
                <w:b w:val="false"/>
                <w:i w:val="false"/>
                <w:color w:val="000000"/>
                <w:sz w:val="20"/>
              </w:rPr>
              <w:t xml:space="preserve"> </w:t>
            </w:r>
            <w:r>
              <w:rPr>
                <w:rFonts w:ascii="Times New Roman"/>
                <w:b/>
                <w:i w:val="false"/>
                <w:color w:val="000000"/>
                <w:sz w:val="20"/>
              </w:rPr>
              <w:t>және</w:t>
            </w:r>
          </w:p>
          <w:p>
            <w:pPr>
              <w:spacing w:after="20"/>
              <w:ind w:left="20"/>
              <w:jc w:val="both"/>
            </w:pPr>
            <w:r>
              <w:rPr>
                <w:rFonts w:ascii="Times New Roman"/>
                <w:b/>
                <w:i w:val="false"/>
                <w:color w:val="000000"/>
                <w:sz w:val="20"/>
              </w:rPr>
              <w:t>(</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кері</w:t>
            </w:r>
            <w:r>
              <w:rPr>
                <w:rFonts w:ascii="Times New Roman"/>
                <w:b w:val="false"/>
                <w:i w:val="false"/>
                <w:color w:val="000000"/>
                <w:sz w:val="20"/>
              </w:rPr>
              <w:t xml:space="preserve"> </w:t>
            </w:r>
            <w:r>
              <w:rPr>
                <w:rFonts w:ascii="Times New Roman"/>
                <w:b/>
                <w:i w:val="false"/>
                <w:color w:val="000000"/>
                <w:sz w:val="20"/>
              </w:rPr>
              <w:t>экспорттауға</w:t>
            </w:r>
          </w:p>
          <w:p>
            <w:pPr>
              <w:spacing w:after="20"/>
              <w:ind w:left="20"/>
              <w:jc w:val="both"/>
            </w:pP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органның</w:t>
            </w:r>
            <w:r>
              <w:rPr>
                <w:rFonts w:ascii="Times New Roman"/>
                <w:b w:val="false"/>
                <w:i w:val="false"/>
                <w:color w:val="000000"/>
                <w:sz w:val="20"/>
              </w:rPr>
              <w:t xml:space="preserve"> </w:t>
            </w:r>
            <w:r>
              <w:rPr>
                <w:rFonts w:ascii="Times New Roman"/>
                <w:b/>
                <w:i w:val="false"/>
                <w:color w:val="000000"/>
                <w:sz w:val="20"/>
              </w:rPr>
              <w:t>рұқсаттар</w:t>
            </w:r>
          </w:p>
          <w:p>
            <w:pPr>
              <w:spacing w:after="20"/>
              <w:ind w:left="20"/>
              <w:jc w:val="both"/>
            </w:pPr>
            <w:r>
              <w:rPr>
                <w:rFonts w:ascii="Times New Roman"/>
                <w:b/>
                <w:i w:val="false"/>
                <w:color w:val="000000"/>
                <w:sz w:val="20"/>
              </w:rPr>
              <w:t xml:space="preserve">беру </w:t>
            </w:r>
            <w:r>
              <w:rPr>
                <w:rFonts w:ascii="Times New Roman"/>
                <w:b/>
                <w:i w:val="false"/>
                <w:color w:val="000000"/>
                <w:sz w:val="20"/>
              </w:rPr>
              <w:t>қағидаларына</w:t>
            </w:r>
          </w:p>
          <w:p>
            <w:pPr>
              <w:spacing w:after="20"/>
              <w:ind w:left="20"/>
              <w:jc w:val="both"/>
            </w:pPr>
            <w:r>
              <w:rPr>
                <w:rFonts w:ascii="Times New Roman"/>
                <w:b/>
                <w:i w:val="false"/>
                <w:color w:val="000000"/>
                <w:sz w:val="20"/>
              </w:rPr>
              <w:t>2-қосымша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беруі" мемлекеттік қызметті көрсетуге қойылатын негізгі талаптар тізбесі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www. egov. kz (бұдан әрі-портал)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 тасығышта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7"/>
          <w:p>
            <w:pPr>
              <w:spacing w:after="20"/>
              <w:ind w:left="20"/>
              <w:jc w:val="both"/>
            </w:pPr>
            <w:r>
              <w:rPr>
                <w:rFonts w:ascii="Times New Roman"/>
                <w:b w:val="false"/>
                <w:i w:val="false"/>
                <w:color w:val="000000"/>
                <w:sz w:val="20"/>
              </w:rPr>
              <w:t>
осы Қағидаларға 4-қосымшаға сәйкес нысан бойынша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 не дәлелді бас тарту.</w:t>
            </w:r>
          </w:p>
          <w:bookmarkEnd w:id="17"/>
          <w:p>
            <w:pPr>
              <w:spacing w:after="20"/>
              <w:ind w:left="20"/>
              <w:jc w:val="both"/>
            </w:pPr>
            <w:r>
              <w:rPr>
                <w:rFonts w:ascii="Times New Roman"/>
                <w:b w:val="false"/>
                <w:i w:val="false"/>
                <w:color w:val="000000"/>
                <w:sz w:val="20"/>
              </w:rPr>
              <w:t>
Порталда көрсетілетін қызметті алушының "жеке кабинетіне" көрсетілетін қызметті берушінің уәкілетті адамының электрондық цифрлық қолтаңбасымен (бұдан әрі-ЭЦҚ) қол қойылған электрондық құжат нысанында мемлекеттік қызмет көрсету нәтижесі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8"/>
          <w:p>
            <w:pPr>
              <w:spacing w:after="20"/>
              <w:ind w:left="20"/>
              <w:jc w:val="both"/>
            </w:pPr>
            <w:r>
              <w:rPr>
                <w:rFonts w:ascii="Times New Roman"/>
                <w:b w:val="false"/>
                <w:i w:val="false"/>
                <w:color w:val="000000"/>
                <w:sz w:val="20"/>
              </w:rPr>
              <w:t>
Мемлекеттік көрсетілетін қызмет жеке және заңды тұлғаларға ақылы негізде көрсетіледі.</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рұқсаттар бергені үшін мемлекеттік баж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0"/>
              </w:rPr>
              <w:t>615-бабының</w:t>
            </w:r>
            <w:r>
              <w:rPr>
                <w:rFonts w:ascii="Times New Roman"/>
                <w:b w:val="false"/>
                <w:i w:val="false"/>
                <w:color w:val="000000"/>
                <w:sz w:val="20"/>
              </w:rPr>
              <w:t xml:space="preserve"> 2) тармақшасына сәйкес алынады және 2 айлық есептік көрсеткішті құрайды.</w:t>
            </w:r>
          </w:p>
          <w:p>
            <w:pPr>
              <w:spacing w:after="20"/>
              <w:ind w:left="20"/>
              <w:jc w:val="both"/>
            </w:pPr>
            <w:r>
              <w:rPr>
                <w:rFonts w:ascii="Times New Roman"/>
                <w:b w:val="false"/>
                <w:i w:val="false"/>
                <w:color w:val="000000"/>
                <w:sz w:val="20"/>
              </w:rPr>
              <w:t>
Төлем қолма-қол немесе қолма-қол емес нысанда екінші деңгейдегі банктер немесе банк операцияларының жекелеген түрлерін жүзеге асыратын ұйымдар арқылы, сондай-ақ электрондық үкіметті төлем шлюзі (бұдан әрі – ЭҮТШ) порталы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9"/>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8.00-ден 17.30-ға дейін.</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сағат 18.00-ден кейін немесе демалыс және мереке күндері жүгінген кезде, өтінішті қабылдау және мемлекеттік көрсетілетін қызмет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Экология, геология және табиғи ресурстар министрлігінің интернет-ресурсында- www.eсogeo.gov. kz "Мемлекеттік көрсетілетін қызметтер" бөлімі;</w:t>
            </w:r>
          </w:p>
          <w:p>
            <w:pPr>
              <w:spacing w:after="20"/>
              <w:ind w:left="20"/>
              <w:jc w:val="both"/>
            </w:pPr>
            <w:r>
              <w:rPr>
                <w:rFonts w:ascii="Times New Roman"/>
                <w:b w:val="false"/>
                <w:i w:val="false"/>
                <w:color w:val="000000"/>
                <w:sz w:val="20"/>
              </w:rPr>
              <w:t>
2) порталда.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сұратылатын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0"/>
          <w:p>
            <w:pPr>
              <w:spacing w:after="20"/>
              <w:ind w:left="20"/>
              <w:jc w:val="both"/>
            </w:pPr>
            <w:r>
              <w:rPr>
                <w:rFonts w:ascii="Times New Roman"/>
                <w:b w:val="false"/>
                <w:i w:val="false"/>
                <w:color w:val="000000"/>
                <w:sz w:val="20"/>
              </w:rPr>
              <w:t>
1) өтініш берушінің ЭЦҚ-сымен куәландырылған осы Қағидаларға 2-қосымшаға сәйкес нысан бойынша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 алуға арналған электрондық құжат нысанындағы өтініш;</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2) импорттауды, экспорттауды және (немесе) кері экспорттауға жеке мақсаттары үшін жүзеге асыратын адамдарды қоспағанда, осы импорттауды, экспорттауды және (немесе) кері экспорттауды жүзеге асыру ниетін растайтын экспорттаушы мен импорттаушы арасындағы келісімшарттың немесе шарттың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үлгілерді Қазақстан Республикасының аумағына импорттау кезінде, егер үлгі Конвенцияның 1, 2, 3-қосымшаларына енгізілген жағдайда, экспорттауға арналған рұқсаттың немесе кері экспорттауға арналған сертификаттың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ұйым қорытындысының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бюджетке мемлекеттік баждың төленгенін растайтын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 түрлері, олардың бөліктері мен дериваттары Қазақстан Республикасының аумағындағы табиғи мекендеу ортасынан алынған жағдайда, аң аулауға арналған рұқсаттың электрондық көшірмесі</w:t>
            </w:r>
          </w:p>
          <w:p>
            <w:pPr>
              <w:spacing w:after="20"/>
              <w:ind w:left="20"/>
              <w:jc w:val="both"/>
            </w:pPr>
            <w:r>
              <w:rPr>
                <w:rFonts w:ascii="Times New Roman"/>
                <w:b w:val="false"/>
                <w:i w:val="false"/>
                <w:color w:val="000000"/>
                <w:sz w:val="20"/>
              </w:rPr>
              <w:t>
Қазақстан Республикасы аумағына әкелуге, Қазақстан Республикасы аумағынан әкетуге және (немесе) қайта әкетуге рұқсаттар беру үшін жеке басын куәландыратын құжаттар, заңды тұлғаны мемлекеттік тіркеу (қайта тіркеу), дара кәсіпкер ретінде мемлекеттік тіркеу не дара кәсіпкер ретінде қызметті бастау туралы, сондай-ақ рұқсат беруге арналған мемлекеттік баждың бюджетке төленгені туралы мәліметтер, аң аулауға рұқсат – көрсетілетін қызметті берушіге "электрондық үкімет" шлюзі арқылы тиісті ақпараттық жүйелерден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1"/>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дәйексіздігінің анықталуы;</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заңды күшіне енген сот шешімі бар, соның негізінде көрсетілетін қызметті алушының мемлекеттік көрсетілетін қызметті алуға байланысты арнайы құқықтан айырылуы.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2"/>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 Құрып кету қаупі төнген жабайы фауна мен флора түрлерімен халықаралық сауда туралы конвенцияның VІ бабының талаптарына жауап береді.</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статусы туралы ақпаратты порталдағы "жеке кабинет" құралы бойынша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берушінің мемлекеттік қызмет көрсету мәселелері жөніндегі анықтамалық қызметтерінің байланыс телефондары көрсетілетін қызметті берушінің интернет-ресурсында орналастырылған. Мемлекеттік қызмет көрсету мәселелері жөніндегі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