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8bc1" w14:textId="28b8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 Қазақстан Республикасы Энергетика министрінің 2025 жылғы 30 сәуірдегі № 184-н/қ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14 қазандағы № 381-н/қ бұйрығы. Қазақстан Республикасының Әділет министрлігінде 2025 жылғы 21 қазанда № 37179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аумағынан мұнай өнімдерін әкетудің кейбір мәселелері туралы" Қазақстан Республикасы Энергетика министрінің 2025 жылғы 30 сәуірдегі № 184-н/қ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36068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xml:space="preserve">
      "2) "Мұнай өнiмдерiнiң жекелеген түрлерiн өндiрудi және олардың айналымын мемлекеттiк реттеу туралы" Қазақстан Республикасы Заңының 18-бабы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беру жоспарына сәйкес жеңіл дистиллятты (ЕАЭО СЭҚ ТН коды 2710 12 110 9), бензиндерді (ЕАЭО СЭҚ ТН 2710 12 450 0, 2710 12 490 0, 2710 12 412 0, 2710 12 413 0), сондай-ақ Қазақстан Республикасы Үкіметінің шешімі бойынша гуманитарлық көмек көрсету шеңберінде мұнай өнімдерін әкетуді қоспағанда, ЕАЭО СЭҚ ТН 2710 12 кодтары бар мұнай өнімдерін темір жол көлігімен әкетуге алты ай мерзімге тыйым салу енгізілсін;".</w:t>
      </w:r>
    </w:p>
    <w:bookmarkEnd w:id="3"/>
    <w:bookmarkStart w:name="z8"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Ішкі істер және Көлік министрліктері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 қажетті шаралар қабылдасын.</w:t>
      </w:r>
    </w:p>
    <w:bookmarkEnd w:id="4"/>
    <w:bookmarkStart w:name="z9" w:id="5"/>
    <w:p>
      <w:pPr>
        <w:spacing w:after="0"/>
        <w:ind w:left="0"/>
        <w:jc w:val="both"/>
      </w:pPr>
      <w:r>
        <w:rPr>
          <w:rFonts w:ascii="Times New Roman"/>
          <w:b w:val="false"/>
          <w:i w:val="false"/>
          <w:color w:val="000000"/>
          <w:sz w:val="28"/>
        </w:rPr>
        <w:t xml:space="preserve">
      3. Қазақстан Республикасы Энергетика министрлігінің Мұнай тасымалдау және өңдеу департаменті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5"/>
    <w:bookmarkStart w:name="z10" w:id="6"/>
    <w:p>
      <w:pPr>
        <w:spacing w:after="0"/>
        <w:ind w:left="0"/>
        <w:jc w:val="both"/>
      </w:pPr>
      <w:r>
        <w:rPr>
          <w:rFonts w:ascii="Times New Roman"/>
          <w:b w:val="false"/>
          <w:i w:val="false"/>
          <w:color w:val="000000"/>
          <w:sz w:val="28"/>
        </w:rPr>
        <w:t>
      4.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1) тармақшада көзделген іс-шаралардың орындалғаны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энергетика вице-министріне жүктелсін.</w:t>
      </w:r>
    </w:p>
    <w:bookmarkEnd w:id="10"/>
    <w:bookmarkStart w:name="z15"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Көлік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Қаржы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Сауда және интеграция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Ұлттық қауіпсіздік комитеті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Ұлттық экономика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Ішкі істер министрлігі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