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8d5c" w14:textId="66e8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14 қазандағы № 557-НҚ бұйрығы. Қазақстан Республикасының Әділет министрлігінде 2025 жылғы 20 қазанда № 37166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20926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 бұйрықты Қазақстан Республикасы Мәдениет және ақпарат министрлігінің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Жасанды интеллект және</w:t>
      </w:r>
    </w:p>
    <w:bookmarkEnd w:id="11"/>
    <w:bookmarkStart w:name="z19" w:id="12"/>
    <w:p>
      <w:pPr>
        <w:spacing w:after="0"/>
        <w:ind w:left="0"/>
        <w:jc w:val="both"/>
      </w:pPr>
      <w:r>
        <w:rPr>
          <w:rFonts w:ascii="Times New Roman"/>
          <w:b w:val="false"/>
          <w:i w:val="false"/>
          <w:color w:val="000000"/>
          <w:sz w:val="28"/>
        </w:rPr>
        <w:t>
      цифрлық даму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w:t>
      </w:r>
    </w:p>
    <w:bookmarkEnd w:id="14"/>
    <w:bookmarkStart w:name="z22" w:id="15"/>
    <w:p>
      <w:pPr>
        <w:spacing w:after="0"/>
        <w:ind w:left="0"/>
        <w:jc w:val="both"/>
      </w:pPr>
      <w:r>
        <w:rPr>
          <w:rFonts w:ascii="Times New Roman"/>
          <w:b w:val="false"/>
          <w:i w:val="false"/>
          <w:color w:val="000000"/>
          <w:sz w:val="28"/>
        </w:rPr>
        <w:t>
      Ұлттық экономика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14 қазандағы</w:t>
            </w:r>
            <w:r>
              <w:br/>
            </w:r>
            <w:r>
              <w:rPr>
                <w:rFonts w:ascii="Times New Roman"/>
                <w:b w:val="false"/>
                <w:i w:val="false"/>
                <w:color w:val="000000"/>
                <w:sz w:val="20"/>
              </w:rPr>
              <w:t>№ 557-НҚ Бұйрыққа қосымша</w:t>
            </w:r>
            <w:r>
              <w:br/>
            </w:r>
            <w:r>
              <w:rPr>
                <w:rFonts w:ascii="Times New Roman"/>
                <w:b w:val="false"/>
                <w:i w:val="false"/>
                <w:color w:val="000000"/>
                <w:sz w:val="20"/>
              </w:rPr>
              <w:t>"Тарих және мәдениет</w:t>
            </w:r>
            <w:r>
              <w:br/>
            </w:r>
            <w:r>
              <w:rPr>
                <w:rFonts w:ascii="Times New Roman"/>
                <w:b w:val="false"/>
                <w:i w:val="false"/>
                <w:color w:val="000000"/>
                <w:sz w:val="20"/>
              </w:rPr>
              <w:t>ескерткіштеріндегі ғылыми-реставрациялық жұмыстарды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археологиялық</w:t>
            </w:r>
            <w:r>
              <w:br/>
            </w:r>
            <w:r>
              <w:rPr>
                <w:rFonts w:ascii="Times New Roman"/>
                <w:b w:val="false"/>
                <w:i w:val="false"/>
                <w:color w:val="000000"/>
                <w:sz w:val="20"/>
              </w:rPr>
              <w:t>жұмыстарды жүзеге асыру</w:t>
            </w:r>
            <w:r>
              <w:br/>
            </w:r>
            <w:r>
              <w:rPr>
                <w:rFonts w:ascii="Times New Roman"/>
                <w:b w:val="false"/>
                <w:i w:val="false"/>
                <w:color w:val="000000"/>
                <w:sz w:val="20"/>
              </w:rPr>
              <w:t>жөніндегі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көрсетілетін қызметтің атауы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Археологиялық жұмыстарды жүзеге асыру.</w:t>
            </w:r>
          </w:p>
          <w:p>
            <w:pPr>
              <w:spacing w:after="20"/>
              <w:ind w:left="20"/>
              <w:jc w:val="both"/>
            </w:pPr>
            <w:r>
              <w:rPr>
                <w:rFonts w:ascii="Times New Roman"/>
                <w:b w:val="false"/>
                <w:i w:val="false"/>
                <w:color w:val="000000"/>
                <w:sz w:val="20"/>
              </w:rPr>
              <w:t>
3.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Мәдениет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xml:space="preserve">
Көрсетілетін қызметті беруші өтінішті тіркеген сәттен бастап: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беру немесе заңды тұлға-лицензиатты бөліп шығару және бөлу нысанында қайта ұйымдастыру кезінде лицензияны қайта ресімдеу – 5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және бөлу нысанында қайта ұйымдастыру жағдайларын қоспағанда,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кезде көрсетілетін қызметті берушінің дәлелді бас тартуы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(бұдан әрі – лицензия) немесе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қайта ресімделген лицензия (бұдан әрі – қайта ресімделген лицензия)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Мемлекеттік көрсетілетін қызмет ақылы негізде көрсетіледі.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Салық Кодексінің </w:t>
            </w:r>
            <w:r>
              <w:rPr>
                <w:rFonts w:ascii="Times New Roman"/>
                <w:b w:val="false"/>
                <w:i w:val="false"/>
                <w:color w:val="000000"/>
                <w:sz w:val="20"/>
              </w:rPr>
              <w:t>616-бабының</w:t>
            </w:r>
            <w:r>
              <w:rPr>
                <w:rFonts w:ascii="Times New Roman"/>
                <w:b w:val="false"/>
                <w:i w:val="false"/>
                <w:color w:val="000000"/>
                <w:sz w:val="20"/>
              </w:rPr>
              <w:t xml:space="preserve"> 4-тармағына сәйкес мемлекеттік қызмет көрсету үшін лицензиялық алым мөлшерлемелері: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тарих және мәдениет ескерткіштерінде археологиялық және (немесе) ғылыми-реставрациялау жұмыстарын жүзеге асыру жөніндегі қызмет түрімен айналысу құқығы үшін – 10 (он) айлық есептік көрсеткішті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жүргізіледі, сондай-ақ портал арқылы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Портал жөндеу жұмыстарын жүргізуге байланысты техникалық үзілістерді қоспағанда, тәулік бойы жүзеге асырылады.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Лицензияны алу немесе заңды тұлға-лицензиатты бөліп шығару және бөлу нысанында қайта ұйымдастыру кезінде лицензияны қайта ресімдеу үшін:</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 бойынша: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(бұдан әрі – ЭҮТШ) арқылы төленген жағдайларды қоспағанда, лицензия беру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тарих және мәдениет ескерткіштерінде ғылыми-реставрациялау жұмыстарын және (немесе) археологиялық жұмыстарды жүзеге асыру жөніндегі қызметті лицензиялау кезінде қойылатын біліктілік талаптары мен шарттарына және оларға сәйкестікті растайтын Қазақстан Республикасы Мәдениет және спорт министрінің 2020 жылғы 19 мамырдағы № 132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20666 болып тіркелген) бекітілген құжаттар тізбесіне сәйкестігі туралы мәліметтер нысаны (бұдан әрі – 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 бойынша: археологиялық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(бұдан әрі – ЭҮТШ) арқылы төленген жағдайларды қоспағанда, лицензия беру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біліктілік талаптарына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және бөлу нысанында қайта ұйымдастыру жағдайларын қоспағанда,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төленген жағдайларды қоспағанда, лицензияны қайта ресімдеу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 қайта ресімдеу үшін негіз болған өзгерістер туралы ақпаратты қамтитын құжаттың электрондық көшірмесі.</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қызметтің жекелеген түрлерімен айналысу құқығы үшін лицензиялық алымның төленгенін растайтын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Лицензияны алу үшін:</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беруші лицензия алу үшін ұсынған құжаттардың және (немесе) оларда қамтылған деректердің (мәліметтердің) анық еместігі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(бұдан әрі – ДД Заң)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 көшірмелерінің ұсынылмауы немесе тиісінше ресімделмеуі;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лицензия алу үшін ұсынған құжаттардың және (немесе) оларда қамтылған деректердің (мәліметтердің) анық еместігі анықтау;</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ДД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2"/>
          <w:p>
            <w:pPr>
              <w:spacing w:after="20"/>
              <w:ind w:left="20"/>
              <w:jc w:val="both"/>
            </w:pPr>
            <w:r>
              <w:rPr>
                <w:rFonts w:ascii="Times New Roman"/>
                <w:b w:val="false"/>
                <w:i w:val="false"/>
                <w:color w:val="000000"/>
                <w:sz w:val="20"/>
              </w:rPr>
              <w:t xml:space="preserve">
Мүмкіндігі шектеулі көрсетілетін қызметті алушыларға мемлекеттік қызмет көрсету ерекшеліктері: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нашар көретіндерге арналған нұсқа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 www.mam.gov.kz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қашықтықтан қол жеткізу режимінде мемлекеттік қызметті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мәселелері жөніндегі анықтама қызметінің байланыс телефондары көрсетілетін қызметті берушінің www.mam.gov.kz интернет-ресурсында "Мемлекеттік көрсетілетін қызметтер" бөлімінде көрсетілген. </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