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3bf0" w14:textId="25d3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Аймаққа бөлу коэффициентін есептеу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17 қазандағы № 517/НҚ бұйрығы. Қазақстан Республикасының Әділет министрлігінде 2025 жылғы 17 қазанда № 37162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 xml:space="preserve">01.01.2026 </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600-бабының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Аймаққа бөлу коэффициентін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"Аймаққа бөлу коэффициентін есептеу әдістемесін бекіту туралы" Қазақстан Республикасы Ақпарат және коммуникациялар министрінің 2018 жылғы 12 қарашадағы № 475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17847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Мемлекеттік қызметтер көрсету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Жасанды интеллект және цифрлық даму вице-министріне жүктелсін.</w:t>
      </w:r>
    </w:p>
    <w:bookmarkEnd w:id="7"/>
    <w:bookmarkStart w:name="z13" w:id="8"/>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 xml:space="preserve">2025 жылғы 17 қазандағы № 517/НҚ </w:t>
            </w:r>
            <w:r>
              <w:br/>
            </w:r>
            <w:r>
              <w:rPr>
                <w:rFonts w:ascii="Times New Roman"/>
                <w:b w:val="false"/>
                <w:i w:val="false"/>
                <w:color w:val="000000"/>
                <w:sz w:val="20"/>
              </w:rPr>
              <w:t>Бұйрықпен бекітілген</w:t>
            </w:r>
          </w:p>
        </w:tc>
      </w:tr>
    </w:tbl>
    <w:bookmarkStart w:name="z16" w:id="9"/>
    <w:p>
      <w:pPr>
        <w:spacing w:after="0"/>
        <w:ind w:left="0"/>
        <w:jc w:val="left"/>
      </w:pPr>
      <w:r>
        <w:rPr>
          <w:rFonts w:ascii="Times New Roman"/>
          <w:b/>
          <w:i w:val="false"/>
          <w:color w:val="000000"/>
        </w:rPr>
        <w:t xml:space="preserve"> Аймаққа бөлу коэффициентін есептеу әдістемесі</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Аймаққа бөлу коэффициентін есептеу әдістемесі (бұдан әрі – Әдістеме) Қазақстан Республикасының Салық кодексінің 600-бабының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 Салық кодексі) сәйкес әзірленген.</w:t>
      </w:r>
    </w:p>
    <w:bookmarkEnd w:id="11"/>
    <w:bookmarkStart w:name="z19" w:id="12"/>
    <w:p>
      <w:pPr>
        <w:spacing w:after="0"/>
        <w:ind w:left="0"/>
        <w:jc w:val="both"/>
      </w:pPr>
      <w:r>
        <w:rPr>
          <w:rFonts w:ascii="Times New Roman"/>
          <w:b w:val="false"/>
          <w:i w:val="false"/>
          <w:color w:val="000000"/>
          <w:sz w:val="28"/>
        </w:rPr>
        <w:t xml:space="preserve">
      2. Осы Әдістеме Салық кодексінің </w:t>
      </w:r>
      <w:r>
        <w:rPr>
          <w:rFonts w:ascii="Times New Roman"/>
          <w:b w:val="false"/>
          <w:i w:val="false"/>
          <w:color w:val="000000"/>
          <w:sz w:val="28"/>
        </w:rPr>
        <w:t>600-бабына</w:t>
      </w:r>
      <w:r>
        <w:rPr>
          <w:rFonts w:ascii="Times New Roman"/>
          <w:b w:val="false"/>
          <w:i w:val="false"/>
          <w:color w:val="000000"/>
          <w:sz w:val="28"/>
        </w:rPr>
        <w:t xml:space="preserve"> сәйкес салық салу мақсатында жеке тұлғалардың жылжымайтын мүлік объектілерінің құнын есептеу кезінде қолданылатын аймаққа бөлу коэффициентін есептеуді регламенттейді.</w:t>
      </w:r>
    </w:p>
    <w:bookmarkEnd w:id="12"/>
    <w:bookmarkStart w:name="z20" w:id="13"/>
    <w:p>
      <w:pPr>
        <w:spacing w:after="0"/>
        <w:ind w:left="0"/>
        <w:jc w:val="left"/>
      </w:pPr>
      <w:r>
        <w:rPr>
          <w:rFonts w:ascii="Times New Roman"/>
          <w:b/>
          <w:i w:val="false"/>
          <w:color w:val="000000"/>
        </w:rPr>
        <w:t xml:space="preserve"> 2-тарау. Аймаққа бөлу коэффициентін есептеу алгоритмі</w:t>
      </w:r>
    </w:p>
    <w:bookmarkEnd w:id="13"/>
    <w:bookmarkStart w:name="z21" w:id="14"/>
    <w:p>
      <w:pPr>
        <w:spacing w:after="0"/>
        <w:ind w:left="0"/>
        <w:jc w:val="both"/>
      </w:pPr>
      <w:r>
        <w:rPr>
          <w:rFonts w:ascii="Times New Roman"/>
          <w:b w:val="false"/>
          <w:i w:val="false"/>
          <w:color w:val="000000"/>
          <w:sz w:val="28"/>
        </w:rPr>
        <w:t>
      3. Аймақтық коэффициентті есептеу бірқатар тікелей байланысты әрекеттерді орындауды көздейді.</w:t>
      </w:r>
    </w:p>
    <w:bookmarkEnd w:id="14"/>
    <w:bookmarkStart w:name="z22" w:id="15"/>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8-бабына</w:t>
      </w:r>
      <w:r>
        <w:rPr>
          <w:rFonts w:ascii="Times New Roman"/>
          <w:b w:val="false"/>
          <w:i w:val="false"/>
          <w:color w:val="000000"/>
          <w:sz w:val="28"/>
        </w:rPr>
        <w:t xml:space="preserve"> сәйкес белгіленген бағалау аймақтарына сәйкес нысан орналасқан жерін ескере отырып, зонирование коэффициенті есептеледі, оның шегінде барлық нысандар өз идентификациялық (кадастрлық) нөміріне ие болады.</w:t>
      </w:r>
    </w:p>
    <w:bookmarkEnd w:id="15"/>
    <w:bookmarkStart w:name="z23" w:id="16"/>
    <w:p>
      <w:pPr>
        <w:spacing w:after="0"/>
        <w:ind w:left="0"/>
        <w:jc w:val="both"/>
      </w:pPr>
      <w:r>
        <w:rPr>
          <w:rFonts w:ascii="Times New Roman"/>
          <w:b w:val="false"/>
          <w:i w:val="false"/>
          <w:color w:val="000000"/>
          <w:sz w:val="28"/>
        </w:rPr>
        <w:t>
      Егер аймақ шекаралары көшелер бойымен өте бермейтін жағдайда, бағалау аймағының шекарасы үйлердің нөмірі бойынша қатаң белгіленеді, олардың идентификациялық (кадастрлық) нөмірлері немесе "Мекенжай тізілімі" мемлекеттік базасының кодтары көрсетіледі.</w:t>
      </w:r>
    </w:p>
    <w:bookmarkEnd w:id="16"/>
    <w:bookmarkStart w:name="z24" w:id="17"/>
    <w:p>
      <w:pPr>
        <w:spacing w:after="0"/>
        <w:ind w:left="0"/>
        <w:jc w:val="both"/>
      </w:pPr>
      <w:r>
        <w:rPr>
          <w:rFonts w:ascii="Times New Roman"/>
          <w:b w:val="false"/>
          <w:i w:val="false"/>
          <w:color w:val="000000"/>
          <w:sz w:val="28"/>
        </w:rPr>
        <w:t>
      4. Әрбір сәйкес келетін аймақ санатына осы Әдістемеге қосымшаға сәйкес жылжымайтын мүліктің салыстырмалы құндылығының факторлары мен қосалқы факторлары белгіленеді.</w:t>
      </w:r>
    </w:p>
    <w:bookmarkEnd w:id="17"/>
    <w:bookmarkStart w:name="z25" w:id="18"/>
    <w:p>
      <w:pPr>
        <w:spacing w:after="0"/>
        <w:ind w:left="0"/>
        <w:jc w:val="both"/>
      </w:pPr>
      <w:r>
        <w:rPr>
          <w:rFonts w:ascii="Times New Roman"/>
          <w:b w:val="false"/>
          <w:i w:val="false"/>
          <w:color w:val="000000"/>
          <w:sz w:val="28"/>
        </w:rPr>
        <w:t>
      5. Әр фактор үшін осы Әдістемеге қосымшада көрсетілген диапазондар шегінде тиісті коэффициент мәні анықталады.</w:t>
      </w:r>
    </w:p>
    <w:bookmarkEnd w:id="18"/>
    <w:bookmarkStart w:name="z26" w:id="19"/>
    <w:p>
      <w:pPr>
        <w:spacing w:after="0"/>
        <w:ind w:left="0"/>
        <w:jc w:val="both"/>
      </w:pPr>
      <w:r>
        <w:rPr>
          <w:rFonts w:ascii="Times New Roman"/>
          <w:b w:val="false"/>
          <w:i w:val="false"/>
          <w:color w:val="000000"/>
          <w:sz w:val="28"/>
        </w:rPr>
        <w:t>
      6. Қорытынды аймаққа бөлу коэффициенті мынадай формула бойынша айқындалады:</w:t>
      </w:r>
    </w:p>
    <w:bookmarkEnd w:id="19"/>
    <w:bookmarkStart w:name="z27" w:id="20"/>
    <w:p>
      <w:pPr>
        <w:spacing w:after="0"/>
        <w:ind w:left="0"/>
        <w:jc w:val="both"/>
      </w:pPr>
      <w:r>
        <w:rPr>
          <w:rFonts w:ascii="Times New Roman"/>
          <w:b w:val="false"/>
          <w:i w:val="false"/>
          <w:color w:val="000000"/>
          <w:sz w:val="28"/>
        </w:rPr>
        <w:t>
      К айм = К1+К2+К3+К4-К5-К6,</w:t>
      </w:r>
    </w:p>
    <w:bookmarkEnd w:id="20"/>
    <w:bookmarkStart w:name="z28" w:id="21"/>
    <w:p>
      <w:pPr>
        <w:spacing w:after="0"/>
        <w:ind w:left="0"/>
        <w:jc w:val="both"/>
      </w:pPr>
      <w:r>
        <w:rPr>
          <w:rFonts w:ascii="Times New Roman"/>
          <w:b w:val="false"/>
          <w:i w:val="false"/>
          <w:color w:val="000000"/>
          <w:sz w:val="28"/>
        </w:rPr>
        <w:t>
      мұнда:</w:t>
      </w:r>
    </w:p>
    <w:bookmarkEnd w:id="21"/>
    <w:bookmarkStart w:name="z29" w:id="22"/>
    <w:p>
      <w:pPr>
        <w:spacing w:after="0"/>
        <w:ind w:left="0"/>
        <w:jc w:val="both"/>
      </w:pPr>
      <w:r>
        <w:rPr>
          <w:rFonts w:ascii="Times New Roman"/>
          <w:b w:val="false"/>
          <w:i w:val="false"/>
          <w:color w:val="000000"/>
          <w:sz w:val="28"/>
        </w:rPr>
        <w:t>
      К айм – жеке тұлғалардың мүліктік салық салу мақсатындағы жылжымайтын мүлік объектілерінің құнын есептеу кезінде қолданылатын аймаққа бөлу коэффициент;</w:t>
      </w:r>
    </w:p>
    <w:bookmarkEnd w:id="22"/>
    <w:bookmarkStart w:name="z30" w:id="23"/>
    <w:p>
      <w:pPr>
        <w:spacing w:after="0"/>
        <w:ind w:left="0"/>
        <w:jc w:val="both"/>
      </w:pPr>
      <w:r>
        <w:rPr>
          <w:rFonts w:ascii="Times New Roman"/>
          <w:b w:val="false"/>
          <w:i w:val="false"/>
          <w:color w:val="000000"/>
          <w:sz w:val="28"/>
        </w:rPr>
        <w:t>
      К1, К2, К3, К4 – арттыру әсерінің мәндер тобы, онда:</w:t>
      </w:r>
    </w:p>
    <w:bookmarkEnd w:id="23"/>
    <w:bookmarkStart w:name="z31" w:id="24"/>
    <w:p>
      <w:pPr>
        <w:spacing w:after="0"/>
        <w:ind w:left="0"/>
        <w:jc w:val="both"/>
      </w:pPr>
      <w:r>
        <w:rPr>
          <w:rFonts w:ascii="Times New Roman"/>
          <w:b w:val="false"/>
          <w:i w:val="false"/>
          <w:color w:val="000000"/>
          <w:sz w:val="28"/>
        </w:rPr>
        <w:t>
      К1 – елді мекен орталығына қолжетімділік коэффициенті, қалалық және қала маңындағы жолаушылар тасымалы аялдамаларына, сондай-ақ қалалық және аудандық қоғамдық орталықтар құрайтын қызметтер орналасқан орталықтарға жаяу арақатынасымен анықталады;</w:t>
      </w:r>
    </w:p>
    <w:bookmarkEnd w:id="24"/>
    <w:bookmarkStart w:name="z32" w:id="25"/>
    <w:p>
      <w:pPr>
        <w:spacing w:after="0"/>
        <w:ind w:left="0"/>
        <w:jc w:val="both"/>
      </w:pPr>
      <w:r>
        <w:rPr>
          <w:rFonts w:ascii="Times New Roman"/>
          <w:b w:val="false"/>
          <w:i w:val="false"/>
          <w:color w:val="000000"/>
          <w:sz w:val="28"/>
        </w:rPr>
        <w:t>
      К2 – орталық инженерлік жабдықтамамен және аумақты көркейтумен қамтамасыз ету коэффициенті, көлікке қолжетімділік, қала, аудан, поселке, село аумағының инженерлік жабдықтамасының (түрлері бойынша) салмағына сәйкес анықталады, сондай-ақ қоғамдық көлікпен қамтамасыз етілуі ескеріледі;</w:t>
      </w:r>
    </w:p>
    <w:bookmarkEnd w:id="25"/>
    <w:bookmarkStart w:name="z33" w:id="26"/>
    <w:p>
      <w:pPr>
        <w:spacing w:after="0"/>
        <w:ind w:left="0"/>
        <w:jc w:val="both"/>
      </w:pPr>
      <w:r>
        <w:rPr>
          <w:rFonts w:ascii="Times New Roman"/>
          <w:b w:val="false"/>
          <w:i w:val="false"/>
          <w:color w:val="000000"/>
          <w:sz w:val="28"/>
        </w:rPr>
        <w:t>
      К3 – Қызмет көрсету аймағының шегіндегі жалпы қалалық, аудандық маңызы бар объектілердің бөлу коэффициенті мәдени-тұрмыстық қызмет көрсетудің күнделікті пайдалануға арналған жекелеген түрлеріне жұмсалатын шығындардың жалпы тұрғын үй құрылысына жұмсалатын шығындардағы үлесін ескере отырып анықталады;</w:t>
      </w:r>
    </w:p>
    <w:bookmarkEnd w:id="26"/>
    <w:bookmarkStart w:name="z34" w:id="27"/>
    <w:p>
      <w:pPr>
        <w:spacing w:after="0"/>
        <w:ind w:left="0"/>
        <w:jc w:val="both"/>
      </w:pPr>
      <w:r>
        <w:rPr>
          <w:rFonts w:ascii="Times New Roman"/>
          <w:b w:val="false"/>
          <w:i w:val="false"/>
          <w:color w:val="000000"/>
          <w:sz w:val="28"/>
        </w:rPr>
        <w:t>
      К4 – арнайы құқықтық мәртебесі бар аймақтардың бөлу коэффициенті;</w:t>
      </w:r>
    </w:p>
    <w:bookmarkEnd w:id="27"/>
    <w:bookmarkStart w:name="z35" w:id="28"/>
    <w:p>
      <w:pPr>
        <w:spacing w:after="0"/>
        <w:ind w:left="0"/>
        <w:jc w:val="both"/>
      </w:pPr>
      <w:r>
        <w:rPr>
          <w:rFonts w:ascii="Times New Roman"/>
          <w:b w:val="false"/>
          <w:i w:val="false"/>
          <w:color w:val="000000"/>
          <w:sz w:val="28"/>
        </w:rPr>
        <w:t>
      К5; К6 – төмендету әсерінің мәндер тобы, онда:</w:t>
      </w:r>
    </w:p>
    <w:bookmarkEnd w:id="28"/>
    <w:bookmarkStart w:name="z36" w:id="29"/>
    <w:p>
      <w:pPr>
        <w:spacing w:after="0"/>
        <w:ind w:left="0"/>
        <w:jc w:val="both"/>
      </w:pPr>
      <w:r>
        <w:rPr>
          <w:rFonts w:ascii="Times New Roman"/>
          <w:b w:val="false"/>
          <w:i w:val="false"/>
          <w:color w:val="000000"/>
          <w:sz w:val="28"/>
        </w:rPr>
        <w:t>
      К5 – қоршаған ортаның жағдайына, санитарлық және микроклиматтық жағдайларға ескеретін коэффициент (төмендету үшін қолданылады);</w:t>
      </w:r>
    </w:p>
    <w:bookmarkEnd w:id="29"/>
    <w:bookmarkStart w:name="z37" w:id="30"/>
    <w:p>
      <w:pPr>
        <w:spacing w:after="0"/>
        <w:ind w:left="0"/>
        <w:jc w:val="both"/>
      </w:pPr>
      <w:r>
        <w:rPr>
          <w:rFonts w:ascii="Times New Roman"/>
          <w:b w:val="false"/>
          <w:i w:val="false"/>
          <w:color w:val="000000"/>
          <w:sz w:val="28"/>
        </w:rPr>
        <w:t>
      К6 – құрылыс инженерлік-геологиялық жағдайларын және зиянды табиғи және басқа да әсерлерге бейімділік деңгейін ескеретін коэффициент.</w:t>
      </w:r>
    </w:p>
    <w:bookmarkEnd w:id="30"/>
    <w:bookmarkStart w:name="z38" w:id="31"/>
    <w:p>
      <w:pPr>
        <w:spacing w:after="0"/>
        <w:ind w:left="0"/>
        <w:jc w:val="both"/>
      </w:pPr>
      <w:r>
        <w:rPr>
          <w:rFonts w:ascii="Times New Roman"/>
          <w:b w:val="false"/>
          <w:i w:val="false"/>
          <w:color w:val="000000"/>
          <w:sz w:val="28"/>
        </w:rPr>
        <w:t>
      Осы ретте аймақтық коэффициенттің ең жоғары мәні 2,7-ге тең болып белгіленеді, бұл жылжымайтын мүліктің салыстырмалы құндылығының факторлары мен қосарлы факторларының жиынтық ең жоғары мәніне сәйкес келеді.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Аймаққа бөлу коэффициентін</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bookmarkStart w:name="z40" w:id="32"/>
    <w:p>
      <w:pPr>
        <w:spacing w:after="0"/>
        <w:ind w:left="0"/>
        <w:jc w:val="left"/>
      </w:pPr>
      <w:r>
        <w:rPr>
          <w:rFonts w:ascii="Times New Roman"/>
          <w:b/>
          <w:i w:val="false"/>
          <w:color w:val="000000"/>
        </w:rPr>
        <w:t xml:space="preserve"> Жылжымайтын мүліктің салыстырмалы құндылығының топтары, факторлары мен кіші факторлары және олардың мәндері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қатыстылық құндылығының факторлары мен кіші факторларының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орталыққа қол 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орталық инженерлік жабдықпен және абаттандырумен қамтамасыз етілуі, көліктік қол 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жүру жолдарының қатты жабыны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қалалық және қала маңындағы жолаушылар көліктері аялдамаларына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 шекараларында жалпы қалалық, аудандық маңызы бар қызмет көрсету объектілерінің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балаларға арналған мекемелер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мәдениет, өнер, спорт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сауда, қоғамдық тамақтану және тұрмыстық қызмет көрсету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құқықтық мәртебесі бар аймақтардың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санитариялық және микроклиматтық жағдайлары төмендету коэффициентімен (минус)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бассейнінің ластануы, жоғары газдануы, түтінденуі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ластануы: қоқыс тастайтын жерлердің болуы, өндірістік қалдықтар үйінділері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режимінің бұзылуы: теміржол, трамвай жолдарының, жолаушылар вокзалдарының, айлақтардың, нарықтардың, үлкен жүк көлігі тасжолының және автокөлік көп жиналатын жылдамдығы жоғарғы тасжолдардың (бағалау объектісінен 50 метрден аспайтын қашықтықта болуы), авиажелілердің болуы (бағалау объектісінен 1000 метрден аспайтын қашықтықта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инженерлік-геологиялық жағдайлары мен жойқын табиғи және басқа да әсерлерге ұшырау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өрістердің, радиацияның теріс әсері (радиостанциялар, радиотелевизиялық тарату және радиооқшаулау станциялары, электр берудің жоғары вольтты әуе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батпақты жер, жер асты суларының жоғары жағдайы, сейсмикалылығы, сел және өзге де табиғи факторлар.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