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bae8" w14:textId="872b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қағидаларын бекіту туралы"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29 қыркүйектегі № 11-1-4/572 және Қазақстан Республикасы Әділет министрінің 2025 жылғы 30 қыркүйектегі № 535 бірлескен бұйрығы. Қазақстан Республикасының Әділет министрлігінде 2025 жылғы 30 қыркүйекте № 36980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 Сыртқы iстер министрлiгiнің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қағидаларын бекіту туралы" Қазақстан Республикасы Сыртқы істер министрінің 2020 жылғы 11 қыркүйектегі № 11-1-4/252 және Қазақстан Республикасы Әділет министрінің 2020 жылғы 6 қазандағы № 460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21405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Сыртқы істер министрлігінің мекемелері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"7. Құжатты Қазақстан Республикасынан талап ету үшін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консулдық алым алынады.</w:t>
      </w:r>
    </w:p>
    <w:bookmarkEnd w:id="3"/>
    <w:bookmarkStart w:name="z9" w:id="4"/>
    <w:p>
      <w:pPr>
        <w:spacing w:after="0"/>
        <w:ind w:left="0"/>
        <w:jc w:val="both"/>
      </w:pPr>
      <w:r>
        <w:rPr>
          <w:rFonts w:ascii="Times New Roman"/>
          <w:b w:val="false"/>
          <w:i w:val="false"/>
          <w:color w:val="000000"/>
          <w:sz w:val="28"/>
        </w:rPr>
        <w:t>
      Консулдық алым талап ету нәтижелеріне қарамастан алынады.".</w:t>
      </w:r>
    </w:p>
    <w:bookmarkEnd w:id="4"/>
    <w:bookmarkStart w:name="z10" w:id="5"/>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Сыртқы істер министрлігінің ресми интернет-ресурсына орналастырылуын;</w:t>
      </w:r>
    </w:p>
    <w:bookmarkEnd w:id="7"/>
    <w:bookmarkStart w:name="z13" w:id="8"/>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4"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Сыртқы істер министрінің орынбасарына және Қазақстан Республикасының Әділет вице-министріне жүктелсін.</w:t>
      </w:r>
    </w:p>
    <w:bookmarkEnd w:id="9"/>
    <w:bookmarkStart w:name="z15" w:id="10"/>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Кошербаев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