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4684" w14:textId="98d4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15 қыркүйектегі № 93 бұйрығы. Қазақстан Республикасының Әділет министрлігінде 2025 жылы 16 қыркүйекте № 36839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20809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"Медициналық қызметке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медициналық қызметті жүзеге асыруға өтінім берілген өндірістік базада рұқсат беру бақылауын (лицензия берілгенге дейін)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"14. Рұқсат беру бақылауы "Рұқсаттар және хабарламалар туралы" Қазақстан Республикасы Заңының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медициналық қызметті жүзеге асыруға өтініш берушінің бақылау объектісіне шығыуымен жүзеге асырылады.</w:t>
      </w:r>
    </w:p>
    <w:bookmarkEnd w:id="6"/>
    <w:bookmarkStart w:name="z13" w:id="7"/>
    <w:p>
      <w:pPr>
        <w:spacing w:after="0"/>
        <w:ind w:left="0"/>
        <w:jc w:val="both"/>
      </w:pPr>
      <w:r>
        <w:rPr>
          <w:rFonts w:ascii="Times New Roman"/>
          <w:b w:val="false"/>
          <w:i w:val="false"/>
          <w:color w:val="000000"/>
          <w:sz w:val="28"/>
        </w:rPr>
        <w:t>
      Бақылау объектісіне барудың уақыты мен күні туралы көрсетілетін қыметті алушыға ұялы байланыстың абоненттік нөмірі бойынша мәтіндік хабарлама жіберу арқылы не хабарламаны немесе шақыруды тіркеуді қамтамасыз ететін өзге де байланыс құралдарын пайдалана отырып, бару басталғанға дейін кемінде бір тәулік бұрын хабарланады.";</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"Медициналық қызметке лицензия беру"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Цифрлық даму, инновациялар</w:t>
      </w:r>
    </w:p>
    <w:bookmarkEnd w:id="17"/>
    <w:bookmarkStart w:name="z25" w:id="18"/>
    <w:p>
      <w:pPr>
        <w:spacing w:after="0"/>
        <w:ind w:left="0"/>
        <w:jc w:val="both"/>
      </w:pPr>
      <w:r>
        <w:rPr>
          <w:rFonts w:ascii="Times New Roman"/>
          <w:b w:val="false"/>
          <w:i w:val="false"/>
          <w:color w:val="000000"/>
          <w:sz w:val="28"/>
        </w:rPr>
        <w:t>
      және аэроғарыш өнеркәсібі</w:t>
      </w:r>
    </w:p>
    <w:bookmarkEnd w:id="18"/>
    <w:bookmarkStart w:name="z26" w:id="19"/>
    <w:p>
      <w:pPr>
        <w:spacing w:after="0"/>
        <w:ind w:left="0"/>
        <w:jc w:val="both"/>
      </w:pPr>
      <w:r>
        <w:rPr>
          <w:rFonts w:ascii="Times New Roman"/>
          <w:b w:val="false"/>
          <w:i w:val="false"/>
          <w:color w:val="000000"/>
          <w:sz w:val="28"/>
        </w:rPr>
        <w:t>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Ұлттық экономика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93 бұйрығына қосымша</w:t>
            </w:r>
            <w:r>
              <w:br/>
            </w: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"Медициналық қызметке лицензия беру" мемлекеттік қызмет көрсетуге қойылатын негізгі талаптардың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лицензияны және (немесе) лицензияға қосымшаны беру кезінде – 13 (он үш) жұмыс күні;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қағаз нысанда берілген лицензияның және (немесе) лицензияға қосымшаның телнұсқасын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және (немесе) лицензияға қосымша, лицензияны және (немесе) лицензияға қосымшаны қайта ресімдеу, медициналық қызметке лицензияның және (немесе) лицензияға қосымшаның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Мемлекеттік қызмет ақылы көрсетіледі, мынадай лицензиялық алым алынады: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үшін – 10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лицензияны беру кезіндегі ставканың 10 %-ы, бірақ 4 АЕК-дан аспайды;</w:t>
            </w:r>
          </w:p>
          <w:p>
            <w:pPr>
              <w:spacing w:after="20"/>
              <w:ind w:left="20"/>
              <w:jc w:val="both"/>
            </w:pPr>
            <w:r>
              <w:rPr>
                <w:rFonts w:ascii="Times New Roman"/>
                <w:b w:val="false"/>
                <w:i w:val="false"/>
                <w:color w:val="000000"/>
                <w:sz w:val="20"/>
              </w:rPr>
              <w:t>
3) лицензияның телнұсқасын беру үшін - лицензияны беру кезіндегі ставканың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сағат 13.00-ден 14.30-ға дейінгі түскі үзіліспен дүйсенбі – жұма аралығында, сағат 09.00-ден 18.30-ға дейін;</w:t>
            </w:r>
          </w:p>
          <w:bookmarkEnd w:id="26"/>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және лицензияға қосымшаны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2-қосымшаға (жеке тұлғалар үшін), 3-қосымшаға (заңды тұлғалар үшін)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Тізбенің </w:t>
            </w:r>
            <w:r>
              <w:rPr>
                <w:rFonts w:ascii="Times New Roman"/>
                <w:b w:val="false"/>
                <w:i w:val="false"/>
                <w:color w:val="000000"/>
                <w:sz w:val="20"/>
              </w:rPr>
              <w:t>1-қосымшаға</w:t>
            </w:r>
            <w:r>
              <w:rPr>
                <w:rFonts w:ascii="Times New Roman"/>
                <w:b w:val="false"/>
                <w:i w:val="false"/>
                <w:color w:val="000000"/>
                <w:sz w:val="20"/>
              </w:rPr>
              <w:t xml:space="preserve"> сәйкес медициналық қызметті лицензиялау кезінде қойылатын біліктілік талаптарына сәйкес мәліметтер мен құжаттардың бар/жоғын растайтын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немесе орта медициналық білім туралы диплом (2015 жылға дейін оқуды бітірген көрсетілетін қызметті алушылар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мамандарға қосымша және бейресми білім беру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қайта даярлаудан өткені туралы куәлік оқу нәтижелерін тану, қосымша және бейресми білім беру арқылы алған (Нормативтік құқықтық актілерді мемлекеттік тіркеу тізілімінде № 21847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қызметтің кіші түрлеріне сәйкес қызметкердің еңбек қызметін (ЭҮШ-да қызметкерлердің бейіндері және еңбек шарттарын есепке алу туралы мәліметтер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құқығын немесе жалға алу шартын немесе жылжымайтын мүлікті (несиені) өтеусіз пайдалану немесе мүлікті сенімгерлік басқару шартын немесе мемлекеттік-жекешелік әріптестік шартын (ЭҮШ-да мәліметтер болған жағдайда) куәландыратын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лицензияның және (немесе) лицензияға қосымшаны қайта ресімдеу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Тізбенің </w:t>
            </w:r>
            <w:r>
              <w:rPr>
                <w:rFonts w:ascii="Times New Roman"/>
                <w:b w:val="false"/>
                <w:i w:val="false"/>
                <w:color w:val="000000"/>
                <w:sz w:val="20"/>
              </w:rPr>
              <w:t>2-қосымшаға</w:t>
            </w:r>
            <w:r>
              <w:rPr>
                <w:rFonts w:ascii="Times New Roman"/>
                <w:b w:val="false"/>
                <w:i w:val="false"/>
                <w:color w:val="000000"/>
                <w:sz w:val="20"/>
              </w:rPr>
              <w:t xml:space="preserve"> (жеке тұлғалар үшін) және </w:t>
            </w:r>
            <w:r>
              <w:rPr>
                <w:rFonts w:ascii="Times New Roman"/>
                <w:b w:val="false"/>
                <w:i w:val="false"/>
                <w:color w:val="000000"/>
                <w:sz w:val="20"/>
              </w:rPr>
              <w:t>3-қосымшаға</w:t>
            </w:r>
            <w:r>
              <w:rPr>
                <w:rFonts w:ascii="Times New Roman"/>
                <w:b w:val="false"/>
                <w:i w:val="false"/>
                <w:color w:val="000000"/>
                <w:sz w:val="20"/>
              </w:rPr>
              <w:t xml:space="preserve"> (заңды тұлғалар үшін)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қайта ресімделген лицензияны алған кезде бұрын қағаз жеткізгіште берілген лицензияны және (немесе) лицензияға қосымшаны көрсетілетін қызметті берушіге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және (немесе) лицензияға қосымшаныңтелнұсқасын алу үшін:</w:t>
            </w:r>
          </w:p>
          <w:p>
            <w:pPr>
              <w:spacing w:after="20"/>
              <w:ind w:left="20"/>
              <w:jc w:val="both"/>
            </w:pPr>
            <w:r>
              <w:rPr>
                <w:rFonts w:ascii="Times New Roman"/>
                <w:b w:val="false"/>
                <w:i w:val="false"/>
                <w:color w:val="000000"/>
                <w:sz w:val="20"/>
              </w:rPr>
              <w:t xml:space="preserve">
осы Тізбенің </w:t>
            </w:r>
            <w:r>
              <w:rPr>
                <w:rFonts w:ascii="Times New Roman"/>
                <w:b w:val="false"/>
                <w:i w:val="false"/>
                <w:color w:val="000000"/>
                <w:sz w:val="20"/>
              </w:rPr>
              <w:t>4-қосымшаға</w:t>
            </w:r>
            <w:r>
              <w:rPr>
                <w:rFonts w:ascii="Times New Roman"/>
                <w:b w:val="false"/>
                <w:i w:val="false"/>
                <w:color w:val="000000"/>
                <w:sz w:val="20"/>
              </w:rPr>
              <w:t xml:space="preserve"> (жеке тұлғалар үшін) және </w:t>
            </w:r>
            <w:r>
              <w:rPr>
                <w:rFonts w:ascii="Times New Roman"/>
                <w:b w:val="false"/>
                <w:i w:val="false"/>
                <w:color w:val="000000"/>
                <w:sz w:val="20"/>
              </w:rPr>
              <w:t>5-қосымшаға</w:t>
            </w:r>
            <w:r>
              <w:rPr>
                <w:rFonts w:ascii="Times New Roman"/>
                <w:b w:val="false"/>
                <w:i w:val="false"/>
                <w:color w:val="000000"/>
                <w:sz w:val="20"/>
              </w:rPr>
              <w:t xml:space="preserve"> (заңды тұлғалар үшін)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1)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 тиісті келісуші мемлекеттік органнан мемлекеттік қызмет көрсету үшін талап етілетін келісу туралы сұрау салуға сондай-ақ рұқсаттық бақылау нәтижелері бойынша теріс қорытынды 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ұсынымы негізінде сот өтініш беруші-борышкерге лицензия беруге уақытша тыйым 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 лицензия алу үшін ұсынған құжаттардың және (немесе) олардағы деректердің (мәліметтердің) дұрыс еместігі анықталды;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соттың заңды күшіне енген шешімі бар, оның негізінде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