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3bb7" w14:textId="1973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27 тамыздағы № 254-НҚ бұйрығы. Қазақстан Республикасының Әділет министрлігінде 2025 жылғы 2 қыркүйекте № 36771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11074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 экспорты мен импортын лицензиялау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77-2 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дайындамалардың домна-конвертер тәсілімен өндірісін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және (немесе) конвертерлік пештерді енгізу актісінің көшірмесі не жабдық паспортының көшірмесі не домна және (немесе) конвертер өндірісінің болуын растайтын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болат дайындамалар экспорттаған жағдайда.</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w:t>
      </w:r>
    </w:p>
    <w:p>
      <w:pPr>
        <w:spacing w:after="0"/>
        <w:ind w:left="0"/>
        <w:jc w:val="both"/>
      </w:pPr>
      <w:r>
        <w:rPr>
          <w:rFonts w:ascii="Times New Roman"/>
          <w:b w:val="false"/>
          <w:i w:val="false"/>
          <w:color w:val="000000"/>
          <w:sz w:val="28"/>
        </w:rPr>
        <w:t>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