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1a01" w14:textId="4871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2024 жылғы 27 мамырдағы № 434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маусымдағы № 481 бұйрығы. Қазақстан Республикасының Әділет министрлігінде 2025 жылғы 30 маусымда № 36357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2024 жылғы 27 мамырдағы № </w:t>
      </w:r>
      <w:r>
        <w:rPr>
          <w:rFonts w:ascii="Times New Roman"/>
          <w:b w:val="false"/>
          <w:i w:val="false"/>
          <w:color w:val="000000"/>
          <w:sz w:val="28"/>
        </w:rPr>
        <w:t xml:space="preserve">434 бұйрығына </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органы,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4"/>
    <w:bookmarkStart w:name="z9" w:id="5"/>
    <w:p>
      <w:pPr>
        <w:spacing w:after="0"/>
        <w:ind w:left="0"/>
        <w:jc w:val="both"/>
      </w:pPr>
      <w:r>
        <w:rPr>
          <w:rFonts w:ascii="Times New Roman"/>
          <w:b w:val="false"/>
          <w:i w:val="false"/>
          <w:color w:val="000000"/>
          <w:sz w:val="28"/>
        </w:rPr>
        <w:t>
      2. Қазақстан Республикасы Ішкі істер министрлігі Қаржымен қамтамасыз ету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тармақтарында көзделген іс-шараларды орындау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Цифрлық даму, инновациялар және</w:t>
      </w:r>
    </w:p>
    <w:bookmarkEnd w:id="12"/>
    <w:bookmarkStart w:name="z19" w:id="13"/>
    <w:p>
      <w:pPr>
        <w:spacing w:after="0"/>
        <w:ind w:left="0"/>
        <w:jc w:val="both"/>
      </w:pPr>
      <w:r>
        <w:rPr>
          <w:rFonts w:ascii="Times New Roman"/>
          <w:b w:val="false"/>
          <w:i w:val="false"/>
          <w:color w:val="000000"/>
          <w:sz w:val="28"/>
        </w:rPr>
        <w:t>
      аэроғарыш өнеркәсібі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