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6fbaa" w14:textId="0e6fb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және қызметтiк қарудың және оған патрондардың, сондай-ақ конструкциясы жағынан қаруға ұқсас бұйымдардың криминалистикалық талаптарға сәйкестігіне қорытынды беру" мемлекеттік қызмет көрсету қағидаларын бекіту туралы" Қазақстан Республикасы Ішкі істер министрінің 2020 жылғы 18 наурыздағы № 224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2025 жылғы 5 мамырдағы № 353 бұйрығы. Қазақстан Республикасының Әділет министрлігінде 2025 жылғы 5 мамырда № 36077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"Азаматтық және қызметтiк қарудың және оған патрондардың, сондай-ақ конструкциясы жағынан қаруға ұқсас бұйымдардың криминалистикалық талаптарға сәйкестігіне қорытынды беру" мемлекеттік қызмет көрсету қағидаларын бекіту туралы" Қазақстан Республикасы Ішкі істер министрінің 2020 жылғы 18 наурыздағы № 224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20173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"Азаматтық және қызметтік қарудың және оған патрондардың, сондай-ақ конструкциясы жағынан қаруға ұқсас бұйымдардың криминалистикалық талаптарға сәйкестігіне қорытынды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"9) сынау объектілері – азаматтық және қызметтiк қару және оның патрондары, сондай-ақ конструкциясы жағынан қаруға ұқсас бұйымдар;";</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бөлігі мынадай редакцияда жазылсын:</w:t>
      </w:r>
    </w:p>
    <w:bookmarkStart w:name="z7" w:id="2"/>
    <w:p>
      <w:pPr>
        <w:spacing w:after="0"/>
        <w:ind w:left="0"/>
        <w:jc w:val="both"/>
      </w:pPr>
      <w:r>
        <w:rPr>
          <w:rFonts w:ascii="Times New Roman"/>
          <w:b w:val="false"/>
          <w:i w:val="false"/>
          <w:color w:val="000000"/>
          <w:sz w:val="28"/>
        </w:rPr>
        <w:t>
      "7. Жауапты орындаушы құжаттарды тіркеген сәттен бастап бір жұмыс күні ішінде ұсынылған құжаттар мен сынау объектілерінің толықтығын, сондай-ақ кәсіпкерлік қызметпен байланысты іс-әрекеттерді жасауға тыйым салулар мен шектеулердің болуын тексереді."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үшінші абзацы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"жүргізілген сынақтардың нәтижелері бойынша бір жұмыс күні ішінде криминалистік талаптарға сәйкестігіне сынақ хаттамасын ресімдейді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азаматтық және қызметтік қару мен оның патрондарының, сондай-ақ конструкциялық жағынан қаруға ұқсас бұйымдардың криминалистік талаптарға сәйкестігіне екі данада сынақ хаттамасын қоса бере отырып,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қорытынды жасайды;";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11" w:id="3"/>
    <w:p>
      <w:pPr>
        <w:spacing w:after="0"/>
        <w:ind w:left="0"/>
        <w:jc w:val="both"/>
      </w:pPr>
      <w:r>
        <w:rPr>
          <w:rFonts w:ascii="Times New Roman"/>
          <w:b w:val="false"/>
          <w:i w:val="false"/>
          <w:color w:val="000000"/>
          <w:sz w:val="28"/>
        </w:rPr>
        <w:t>
      2. Қазақстан Республикасы Ішкі істер министрлігінің Жедел-криминалистикалық департаменті Қазақстан Республикасының заңнамасында белгіленген тәртіпте:</w:t>
      </w:r>
    </w:p>
    <w:bookmarkEnd w:id="3"/>
    <w:bookmarkStart w:name="z12"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13" w:id="5"/>
    <w:p>
      <w:pPr>
        <w:spacing w:after="0"/>
        <w:ind w:left="0"/>
        <w:jc w:val="both"/>
      </w:pPr>
      <w:r>
        <w:rPr>
          <w:rFonts w:ascii="Times New Roman"/>
          <w:b w:val="false"/>
          <w:i w:val="false"/>
          <w:color w:val="000000"/>
          <w:sz w:val="28"/>
        </w:rPr>
        <w:t xml:space="preserve">
      2) осы бұйрықты Қазақстан Республикасы Ішкі істер министрлігінің ресми интернет-ресурсында орналастыруды;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бұйрыққа қол қойылғаннан кейін бес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мен нормашығармашылығын үйлестіру департаментіне ұсынуды қамтамасыз етсін.</w:t>
      </w:r>
    </w:p>
    <w:bookmarkStart w:name="z15" w:id="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жетекшiлiк ететiн орынбасарына жүктелсін.</w:t>
      </w:r>
    </w:p>
    <w:bookmarkEnd w:id="6"/>
    <w:bookmarkStart w:name="z16"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2025 жылғы 5 мамырдағы</w:t>
            </w:r>
            <w:r>
              <w:br/>
            </w:r>
            <w:r>
              <w:rPr>
                <w:rFonts w:ascii="Times New Roman"/>
                <w:b w:val="false"/>
                <w:i w:val="false"/>
                <w:color w:val="000000"/>
                <w:sz w:val="20"/>
              </w:rPr>
              <w:t xml:space="preserve">№ 353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және қызметтiк</w:t>
            </w:r>
            <w:r>
              <w:br/>
            </w:r>
            <w:r>
              <w:rPr>
                <w:rFonts w:ascii="Times New Roman"/>
                <w:b w:val="false"/>
                <w:i w:val="false"/>
                <w:color w:val="000000"/>
                <w:sz w:val="20"/>
              </w:rPr>
              <w:t xml:space="preserve">қарудың және оған </w:t>
            </w:r>
            <w:r>
              <w:br/>
            </w:r>
            <w:r>
              <w:rPr>
                <w:rFonts w:ascii="Times New Roman"/>
                <w:b w:val="false"/>
                <w:i w:val="false"/>
                <w:color w:val="000000"/>
                <w:sz w:val="20"/>
              </w:rPr>
              <w:t xml:space="preserve">патрондардың, сондай-ақ </w:t>
            </w:r>
            <w:r>
              <w:br/>
            </w:r>
            <w:r>
              <w:rPr>
                <w:rFonts w:ascii="Times New Roman"/>
                <w:b w:val="false"/>
                <w:i w:val="false"/>
                <w:color w:val="000000"/>
                <w:sz w:val="20"/>
              </w:rPr>
              <w:t>конструкциясы жағынан</w:t>
            </w:r>
            <w:r>
              <w:br/>
            </w:r>
            <w:r>
              <w:rPr>
                <w:rFonts w:ascii="Times New Roman"/>
                <w:b w:val="false"/>
                <w:i w:val="false"/>
                <w:color w:val="000000"/>
                <w:sz w:val="20"/>
              </w:rPr>
              <w:t>қаруға ұқсас бұйымдардың</w:t>
            </w:r>
            <w:r>
              <w:br/>
            </w:r>
            <w:r>
              <w:rPr>
                <w:rFonts w:ascii="Times New Roman"/>
                <w:b w:val="false"/>
                <w:i w:val="false"/>
                <w:color w:val="000000"/>
                <w:sz w:val="20"/>
              </w:rPr>
              <w:t>криминалистикалық талаптарға</w:t>
            </w:r>
            <w:r>
              <w:br/>
            </w:r>
            <w:r>
              <w:rPr>
                <w:rFonts w:ascii="Times New Roman"/>
                <w:b w:val="false"/>
                <w:i w:val="false"/>
                <w:color w:val="000000"/>
                <w:sz w:val="20"/>
              </w:rPr>
              <w:t>сәйкестігіне қорытынды беру"</w:t>
            </w:r>
            <w:r>
              <w:br/>
            </w:r>
            <w:r>
              <w:rPr>
                <w:rFonts w:ascii="Times New Roman"/>
                <w:b w:val="false"/>
                <w:i w:val="false"/>
                <w:color w:val="000000"/>
                <w:sz w:val="20"/>
              </w:rPr>
              <w:t xml:space="preserve">мемлекеттік қызмет </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қарудың және оған патрондардың, сондай-ақ конструкциясы жағынан қаруға ұқсас бұйымдардың криминалистикалық талаптарға сәйкестігіне қорытынды беру" мемлекеттік көрсетілетін қызметке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мемлекеттік қызмет көрсету нәтижелерін беру www.egov.kz, www.elicense.kz "электрондық үкімет" веб-порталы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мерзімі – он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қызметтiк қарудың және оған патрондардың, сондай-ақ конструкциясы жағынан қаруға ұқсас бұйымдардың криминалистикалық талаптарға сәйкестігіне қорытынды немесе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ақысыз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дүйсенбіден бастап жұма аралығында сағат 13.00-ден 14.30-ға дейін түскі үзіліспен сағат 09.00-ден 18.30-ға дейін.</w:t>
            </w:r>
          </w:p>
          <w:p>
            <w:pPr>
              <w:spacing w:after="20"/>
              <w:ind w:left="20"/>
              <w:jc w:val="both"/>
            </w:pPr>
            <w:r>
              <w:rPr>
                <w:rFonts w:ascii="Times New Roman"/>
                <w:b w:val="false"/>
                <w:i w:val="false"/>
                <w:color w:val="000000"/>
                <w:sz w:val="20"/>
              </w:rPr>
              <w:t>
Құжаттарды қабылдау жұмыс кестесіне сәйкес жүзеге асырылады.Мемлекеттік қызмет алдын ала жазылусыз және жедел қызмет көрсетусіз кезек тәртібінде көрсетіледі. Портал – жөндеу жұмыстарын жүргізуге байланысты техникалық үзілістерді қоспағанда, (көрсетілетін қызметті алушы жұмыс уақыты аяқталғаннан кейін, демалыс және мереке күндері жүгінген кезде құжаттарды қабылдау және көрсетілетін мемлекеттік қызметтің нәтижелерін беру Қазақстан Республикасының еңбек заңнамасына сәйкес келесі жұмыс күні жүзеге асырылады) тәулік бойы.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Ішкі істер министрлігінің интернет-ресурсында: www.mvd.gov.kz "Мемлекеттiк көрсетiлетiн қызметтер" бөлімінде;</w:t>
            </w:r>
          </w:p>
          <w:p>
            <w:pPr>
              <w:spacing w:after="20"/>
              <w:ind w:left="20"/>
              <w:jc w:val="both"/>
            </w:pPr>
            <w:r>
              <w:rPr>
                <w:rFonts w:ascii="Times New Roman"/>
                <w:b w:val="false"/>
                <w:i w:val="false"/>
                <w:color w:val="000000"/>
                <w:sz w:val="20"/>
              </w:rPr>
              <w:t>
2) www.egov.kz, www.elicense.kz "электрондық үкімет" веб-порталында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қажетті құжаттардың, мәліметтердің және сынау объектілерінің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xml:space="preserve">
1) заңды тұлғаның өкілі үшін сенімхатпен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көрсетілетін қызметті алушының өтініші;</w:t>
            </w:r>
          </w:p>
          <w:p>
            <w:pPr>
              <w:spacing w:after="20"/>
              <w:ind w:left="20"/>
              <w:jc w:val="both"/>
            </w:pPr>
            <w:r>
              <w:rPr>
                <w:rFonts w:ascii="Times New Roman"/>
                <w:b w:val="false"/>
                <w:i w:val="false"/>
                <w:color w:val="000000"/>
                <w:sz w:val="20"/>
              </w:rPr>
              <w:t>
2) фирманың каталогы, мемлекеттік және орыс тілдеріне аударылған сынау объектісі паспортының түпнұсқасы және/немесе оны пайдалану жөніндегі нұсқаулық;</w:t>
            </w:r>
          </w:p>
          <w:p>
            <w:pPr>
              <w:spacing w:after="20"/>
              <w:ind w:left="20"/>
              <w:jc w:val="both"/>
            </w:pPr>
            <w:r>
              <w:rPr>
                <w:rFonts w:ascii="Times New Roman"/>
                <w:b w:val="false"/>
                <w:i w:val="false"/>
                <w:color w:val="000000"/>
                <w:sz w:val="20"/>
              </w:rPr>
              <w:t>
3) келісімшарттың көшірмесі және өтініш беруші фирманың басшылығы куәландырған Қазақстан Республикасының аумағына әкелінген партиядағы сынау объектіcі нөмірлерінің тізбесі.</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xml:space="preserve">
1) заңды тұлғаның өкілі үшін сенімхатпен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көрсетілетін қызметті алушының өтініші;</w:t>
            </w:r>
          </w:p>
          <w:p>
            <w:pPr>
              <w:spacing w:after="20"/>
              <w:ind w:left="20"/>
              <w:jc w:val="both"/>
            </w:pPr>
            <w:r>
              <w:rPr>
                <w:rFonts w:ascii="Times New Roman"/>
                <w:b w:val="false"/>
                <w:i w:val="false"/>
                <w:color w:val="000000"/>
                <w:sz w:val="20"/>
              </w:rPr>
              <w:t>
2) фирманың каталогының электрондық көшірмесі, мемлекеттік және орыс тілдеріне аударылған сынау объектісі паспортының түпнұсқасының электрондық көшірмесі және/немесе оны пайдалану жөніндегі нұсқаулықтың электрондық көшірмесі;</w:t>
            </w:r>
          </w:p>
          <w:p>
            <w:pPr>
              <w:spacing w:after="20"/>
              <w:ind w:left="20"/>
              <w:jc w:val="both"/>
            </w:pPr>
            <w:r>
              <w:rPr>
                <w:rFonts w:ascii="Times New Roman"/>
                <w:b w:val="false"/>
                <w:i w:val="false"/>
                <w:color w:val="000000"/>
                <w:sz w:val="20"/>
              </w:rPr>
              <w:t>
3) келісімшарттың және өтініш беруші фирманың басшылығы куәландырған Қазақстан Республикасының аумағына әкелінген партиядағы сынау объектілері нөмірлері тізбесінің электрондық көшірмесі.</w:t>
            </w:r>
          </w:p>
          <w:p>
            <w:pPr>
              <w:spacing w:after="20"/>
              <w:ind w:left="20"/>
              <w:jc w:val="both"/>
            </w:pPr>
            <w:r>
              <w:rPr>
                <w:rFonts w:ascii="Times New Roman"/>
                <w:b w:val="false"/>
                <w:i w:val="false"/>
                <w:color w:val="000000"/>
                <w:sz w:val="20"/>
              </w:rPr>
              <w:t>
Сынау объектілері:</w:t>
            </w:r>
          </w:p>
          <w:p>
            <w:pPr>
              <w:spacing w:after="20"/>
              <w:ind w:left="20"/>
              <w:jc w:val="both"/>
            </w:pPr>
            <w:r>
              <w:rPr>
                <w:rFonts w:ascii="Times New Roman"/>
                <w:b w:val="false"/>
                <w:i w:val="false"/>
                <w:color w:val="000000"/>
                <w:sz w:val="20"/>
              </w:rPr>
              <w:t>
атыс, ұңғысыз, белгі беру, газды, электр, пневматикалық, оқсыз атылатын қаруды, оның патрондарын, сондай-ақ конструкциялық жағынан қаруға ұқсас бұйымдарды сынау кезінде:</w:t>
            </w:r>
          </w:p>
          <w:p>
            <w:pPr>
              <w:spacing w:after="20"/>
              <w:ind w:left="20"/>
              <w:jc w:val="both"/>
            </w:pPr>
            <w:r>
              <w:rPr>
                <w:rFonts w:ascii="Times New Roman"/>
                <w:b w:val="false"/>
                <w:i w:val="false"/>
                <w:color w:val="000000"/>
                <w:sz w:val="20"/>
              </w:rPr>
              <w:t>
тегіс ұңғылы және ойық атыс қаруы – әр модельдің немесе модификацияның кемінде он дана патроны бар бір данасы;</w:t>
            </w:r>
          </w:p>
          <w:p>
            <w:pPr>
              <w:spacing w:after="20"/>
              <w:ind w:left="20"/>
              <w:jc w:val="both"/>
            </w:pPr>
            <w:r>
              <w:rPr>
                <w:rFonts w:ascii="Times New Roman"/>
                <w:b w:val="false"/>
                <w:i w:val="false"/>
                <w:color w:val="000000"/>
                <w:sz w:val="20"/>
              </w:rPr>
              <w:t>
ұңғысыз атыс қаруы, жарақат салатын патрондармен ату мүмкіндігі бар газды қару – әр модельдің немесе модификацияның кемінде он дана патроны бар бір данасы;</w:t>
            </w:r>
          </w:p>
          <w:p>
            <w:pPr>
              <w:spacing w:after="20"/>
              <w:ind w:left="20"/>
              <w:jc w:val="both"/>
            </w:pPr>
            <w:r>
              <w:rPr>
                <w:rFonts w:ascii="Times New Roman"/>
                <w:b w:val="false"/>
                <w:i w:val="false"/>
                <w:color w:val="000000"/>
                <w:sz w:val="20"/>
              </w:rPr>
              <w:t>
оқсыз атылатын, газды, белгі беру, электр, пневматикалық қару – әр модельдің немесе модификацияның кемінде он дана патроны бар бір данасы (газды қару үшін кемінде бес дана бос патрон қосымша ұсынылады);</w:t>
            </w:r>
          </w:p>
          <w:p>
            <w:pPr>
              <w:spacing w:after="20"/>
              <w:ind w:left="20"/>
              <w:jc w:val="both"/>
            </w:pPr>
            <w:r>
              <w:rPr>
                <w:rFonts w:ascii="Times New Roman"/>
                <w:b w:val="false"/>
                <w:i w:val="false"/>
                <w:color w:val="000000"/>
                <w:sz w:val="20"/>
              </w:rPr>
              <w:t>
конструкциясы жағынан қаруға ұқсас бұйымдар - әр модельдің немесе модификацияның бір данасы;</w:t>
            </w:r>
          </w:p>
          <w:p>
            <w:pPr>
              <w:spacing w:after="20"/>
              <w:ind w:left="20"/>
              <w:jc w:val="both"/>
            </w:pPr>
            <w:r>
              <w:rPr>
                <w:rFonts w:ascii="Times New Roman"/>
                <w:b w:val="false"/>
                <w:i w:val="false"/>
                <w:color w:val="000000"/>
                <w:sz w:val="20"/>
              </w:rPr>
              <w:t>
қызметтік және азаматтық қарудың патрондары – өндіруші кәсіпорынның бастапқы орамасында кемінде он дана;</w:t>
            </w:r>
          </w:p>
          <w:p>
            <w:pPr>
              <w:spacing w:after="20"/>
              <w:ind w:left="20"/>
              <w:jc w:val="both"/>
            </w:pPr>
            <w:r>
              <w:rPr>
                <w:rFonts w:ascii="Times New Roman"/>
                <w:b w:val="false"/>
                <w:i w:val="false"/>
                <w:color w:val="000000"/>
                <w:sz w:val="20"/>
              </w:rPr>
              <w:t>
суық және лақтырылатын қаруға, сондай-ақ конструкциясы жағынан қаруға ұқсас бұйымдарға сынау жүргізу үшін:</w:t>
            </w:r>
          </w:p>
          <w:p>
            <w:pPr>
              <w:spacing w:after="20"/>
              <w:ind w:left="20"/>
              <w:jc w:val="both"/>
            </w:pPr>
            <w:r>
              <w:rPr>
                <w:rFonts w:ascii="Times New Roman"/>
                <w:b w:val="false"/>
                <w:i w:val="false"/>
                <w:color w:val="000000"/>
                <w:sz w:val="20"/>
              </w:rPr>
              <w:t>
суық және лақтырылатын қару болып табылатын объектілер – әр модельдің немесе модификацияның бір данасы;</w:t>
            </w:r>
          </w:p>
          <w:p>
            <w:pPr>
              <w:spacing w:after="20"/>
              <w:ind w:left="20"/>
              <w:jc w:val="both"/>
            </w:pPr>
            <w:r>
              <w:rPr>
                <w:rFonts w:ascii="Times New Roman"/>
                <w:b w:val="false"/>
                <w:i w:val="false"/>
                <w:color w:val="000000"/>
                <w:sz w:val="20"/>
              </w:rPr>
              <w:t>
конструкциясы жағынан суық және лақтыратын қаруға ұқсас бұйымдар – әр модельдің немесе модификацияның бір данасы;</w:t>
            </w:r>
          </w:p>
          <w:p>
            <w:pPr>
              <w:spacing w:after="20"/>
              <w:ind w:left="20"/>
              <w:jc w:val="both"/>
            </w:pPr>
            <w:r>
              <w:rPr>
                <w:rFonts w:ascii="Times New Roman"/>
                <w:b w:val="false"/>
                <w:i w:val="false"/>
                <w:color w:val="000000"/>
                <w:sz w:val="20"/>
              </w:rPr>
              <w:t>
конструкциясы жағынан суық және лақтыратын қаруға ұқсас бұйымдарға шаруашылық-тұрмыстық мақсаттағы бұйымдар – әр модельдің немесе модификацияның бір данасы;</w:t>
            </w:r>
          </w:p>
          <w:p>
            <w:pPr>
              <w:spacing w:after="20"/>
              <w:ind w:left="20"/>
              <w:jc w:val="both"/>
            </w:pPr>
            <w:r>
              <w:rPr>
                <w:rFonts w:ascii="Times New Roman"/>
                <w:b w:val="false"/>
                <w:i w:val="false"/>
                <w:color w:val="000000"/>
                <w:sz w:val="20"/>
              </w:rPr>
              <w:t>
арбалеттерге немесе садақтарға снарядтар – әр модификацияның бес бірлігі ұсынылады.</w:t>
            </w:r>
          </w:p>
          <w:p>
            <w:pPr>
              <w:spacing w:after="20"/>
              <w:ind w:left="20"/>
              <w:jc w:val="both"/>
            </w:pPr>
            <w:r>
              <w:rPr>
                <w:rFonts w:ascii="Times New Roman"/>
                <w:b w:val="false"/>
                <w:i w:val="false"/>
                <w:color w:val="000000"/>
                <w:sz w:val="20"/>
              </w:rPr>
              <w:t>
Заңды тұлғаны мемлекеттік тіркеу (қайта тіркеу) құжаттары туралы мәліметті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құжаттарда дұрыс емес және (немесе) олардағы деректердің (мәліметтердің) анық еместігін белгілеу;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қызметіне немесе осы мемлекеттік көрсетілетін қызметті алуды талап ететін қызметтің жекелеген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көрсетілетін мемлекеттік қызметті ЭЦҚ болған кезде портал арқылы электрондық нысанда алуға мүмкіндігі бар;</w:t>
            </w:r>
          </w:p>
          <w:p>
            <w:pPr>
              <w:spacing w:after="20"/>
              <w:ind w:left="20"/>
              <w:jc w:val="both"/>
            </w:pPr>
            <w:r>
              <w:rPr>
                <w:rFonts w:ascii="Times New Roman"/>
                <w:b w:val="false"/>
                <w:i w:val="false"/>
                <w:color w:val="000000"/>
                <w:sz w:val="20"/>
              </w:rPr>
              <w:t>
2)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3) мемлекеттік қызмет көрсету мәселелері жөніндегі анықтамалық қызметтердің байланыс телефондары Қазақстан Республикасы Ішкі істер министрлігінің интернет-ресурсы: www.mvd.gov.kz "Мемлекеттік көрсетілетін қызметтер" бөлімінде көрсетілген. Мемлекеттік қызметтер көрсету мәселелері жөніндегі бірыңғай байланыс орталығы 1414, 8-800-080-7777.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