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609f" w14:textId="ca96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15 сәуірдегі № 169-НҚ бұйрығы. Қазақстан Республикасының Әділет министрлігінде 2025 жылғы 23 сәуірде № 36010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20926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"2. Мемлекеттік қызметті Қазақстан Республикасы Мәдениет және ақпарат министрлігінің Мәдениет комитеті (бұдан әрі – көрсетілетін қызметті беруші) көрсетеді.";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 мынадай редакцияда жазылсын:</w:t>
      </w:r>
    </w:p>
    <w:bookmarkStart w:name="z6" w:id="2"/>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мазмұны мен нәтижесі, сондай-ақ өзге де мәліметтерді қамтитын мемлекеттік қызмет көрсетуге қойылатын негізгі талаптар Тізбеде жазылған.";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Ұсынылған құжаттар толық болған жағдайда лицензияны алу немесе заңды тұлға-лицензиат бөлініп шығу және бөліну нысандарында қайта ұйымдастырылған жағдайларда лицензияны қайта ресімдеу кезінде, жауапты орындаушы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ішінде көрсетілетін қызметті алушы ұсынған құжаттардың Біліктілік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Көрсетілетін қызметті алушы көрсетілетін қызметті берушінің алдын ала шешімін алған күннен бастап 2 (екі) жұмыс күнінен кешіктірілмейтін мерзімде оған қарсылығын ұсынады немесе айтады.</w:t>
      </w:r>
    </w:p>
    <w:p>
      <w:pPr>
        <w:spacing w:after="0"/>
        <w:ind w:left="0"/>
        <w:jc w:val="both"/>
      </w:pPr>
      <w:r>
        <w:rPr>
          <w:rFonts w:ascii="Times New Roman"/>
          <w:b w:val="false"/>
          <w:i w:val="false"/>
          <w:color w:val="000000"/>
          <w:sz w:val="28"/>
        </w:rPr>
        <w:t>
      Көрсетілетін қызметті алушы Біліктілік талаптарына сәйкес келген кезде жауапты орындаушы мемлекеттік қызмет көрсету мерзімі аяқталғанға дейін мемлекеттік қызмет көрсету нәтижесінің жобасын қалыптастырады және көрсетілетін қызметті берушінің немесе оның міндетін атқарушы тұлғаның басшысына бұрыштама қоюға (қол қоюға) жолдайды.</w:t>
      </w:r>
    </w:p>
    <w:p>
      <w:pPr>
        <w:spacing w:after="0"/>
        <w:ind w:left="0"/>
        <w:jc w:val="both"/>
      </w:pPr>
      <w:r>
        <w:rPr>
          <w:rFonts w:ascii="Times New Roman"/>
          <w:b w:val="false"/>
          <w:i w:val="false"/>
          <w:color w:val="000000"/>
          <w:sz w:val="28"/>
        </w:rPr>
        <w:t>
      Мемлекеттік қызмет көрсету нәтижесіне бұрыштама қойылғаннан (қол қойғаннан) кейін көрсетілетін қызметті алушы порталдағы жеке кабинетте көрсетілетін қызметті беруші басшысының немесе оның міндетін атқарушы тұлғаның ЭЦҚ қойылған электрондық құжат нысанында лицензияны немесе Тізбесінің 9-тармағында көзделген негіздер бойынша мемлекеттік қызмет көрсетуден дәлелді бас тартуды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15 сәуірдегі</w:t>
            </w:r>
            <w:r>
              <w:br/>
            </w:r>
            <w:r>
              <w:rPr>
                <w:rFonts w:ascii="Times New Roman"/>
                <w:b w:val="false"/>
                <w:i w:val="false"/>
                <w:color w:val="000000"/>
                <w:sz w:val="20"/>
              </w:rPr>
              <w:t>№ 169-НҚ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ескерткіштеріндегі ғылыми-</w:t>
            </w:r>
            <w:r>
              <w:br/>
            </w:r>
            <w:r>
              <w:rPr>
                <w:rFonts w:ascii="Times New Roman"/>
                <w:b w:val="false"/>
                <w:i w:val="false"/>
                <w:color w:val="000000"/>
                <w:sz w:val="20"/>
              </w:rPr>
              <w:t xml:space="preserve">реставрациялық жұмыстарды </w:t>
            </w:r>
            <w:r>
              <w:br/>
            </w:r>
            <w:r>
              <w:rPr>
                <w:rFonts w:ascii="Times New Roman"/>
                <w:b w:val="false"/>
                <w:i w:val="false"/>
                <w:color w:val="000000"/>
                <w:sz w:val="20"/>
              </w:rPr>
              <w:t xml:space="preserve">және (немесе) археологиялық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p>
            <w:pPr>
              <w:spacing w:after="20"/>
              <w:ind w:left="20"/>
              <w:jc w:val="both"/>
            </w:pPr>
            <w:r>
              <w:rPr>
                <w:rFonts w:ascii="Times New Roman"/>
                <w:b w:val="false"/>
                <w:i w:val="false"/>
                <w:color w:val="000000"/>
                <w:sz w:val="20"/>
              </w:rPr>
              <w:t>
3.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өтінішті тіркеген сәттен бастап: </w:t>
            </w:r>
          </w:p>
          <w:p>
            <w:pPr>
              <w:spacing w:after="20"/>
              <w:ind w:left="20"/>
              <w:jc w:val="both"/>
            </w:pPr>
            <w:r>
              <w:rPr>
                <w:rFonts w:ascii="Times New Roman"/>
                <w:b w:val="false"/>
                <w:i w:val="false"/>
                <w:color w:val="000000"/>
                <w:sz w:val="20"/>
              </w:rPr>
              <w:t>
лицензияны беру немесе заңды тұлға-лицензиатты бөліп шығару және бөлу нысанында қайта ұйымдастыру кезінде лицензияны қайта ресімдеу – 5 (бес) жұмыс күні;</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жағдайларын қоспағанда,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кезде көрсетілетін қызметті берушінің дәлелді бас тартуы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(бұдан әрі – лицензия) немесе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қайта ресімделген лицензия (бұдан әрі – қайта ресімделген лицензия)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554-бабына сәйкес мемлекеттік қызмет көрсету үшін лицензиялық алым мөлшерлемелері:</w:t>
            </w:r>
          </w:p>
          <w:p>
            <w:pPr>
              <w:spacing w:after="20"/>
              <w:ind w:left="20"/>
              <w:jc w:val="both"/>
            </w:pPr>
            <w:r>
              <w:rPr>
                <w:rFonts w:ascii="Times New Roman"/>
                <w:b w:val="false"/>
                <w:i w:val="false"/>
                <w:color w:val="000000"/>
                <w:sz w:val="20"/>
              </w:rPr>
              <w:t>
1) тарих және мәдениет ескерткіштерінде археологиялық және (немесе) ғылыми-реставрациялау жұмыстарын жүзеге асыру жөніндегі қызмет түрімен айналысу құқығы үшін – 10 (он) айлық есептік көрсеткішті (бұдан әрі – АЕК);</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жүргізіледі, сондай-ақ портал арқылы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немесе заңды тұлға-лицензиатты бөліп шығару және бөлу нысанында қайта ұйымдастыру кезінде лицензияны қайта ресімдеу үшін:</w:t>
            </w:r>
          </w:p>
          <w:p>
            <w:pPr>
              <w:spacing w:after="20"/>
              <w:ind w:left="20"/>
              <w:jc w:val="both"/>
            </w:pPr>
            <w:r>
              <w:rPr>
                <w:rFonts w:ascii="Times New Roman"/>
                <w:b w:val="false"/>
                <w:i w:val="false"/>
                <w:color w:val="000000"/>
                <w:sz w:val="20"/>
              </w:rPr>
              <w:t>
мемлекеттік көрсетілетін қызметтің кіші түрі бойынша: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xml:space="preserve">
3) тарих және мәдениет ескерткіштерінде ғылыми-реставрациялау жұмыстарын және (немесе) археологиялық жұмыстарды жүзеге асыру жөніндегі қызметті лицензиялау кезінде қойылатын біліктілік талаптары мен шарттарына және оларға сәйкестікті растайтын Қазақстан Республикасы Мәдениет және спорт министрінің 2020 жылғы 19 мамырдағы № 132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20666 болып тіркелген) бекітілген құжаттар тізбесіне сәйкестігі туралы мәліметтер нысаны (бұдан әрі – Біліктілік талаптары).</w:t>
            </w:r>
          </w:p>
          <w:p>
            <w:pPr>
              <w:spacing w:after="20"/>
              <w:ind w:left="20"/>
              <w:jc w:val="both"/>
            </w:pPr>
            <w:r>
              <w:rPr>
                <w:rFonts w:ascii="Times New Roman"/>
                <w:b w:val="false"/>
                <w:i w:val="false"/>
                <w:color w:val="000000"/>
                <w:sz w:val="20"/>
              </w:rPr>
              <w:t>
мемлекеттік көрсетілетін қызметтің кіші түрі бойынша: археологиялық жұмыстарды жүзеге асыру:</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3)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жағдайларын қоспағанда, лицензияны қайта ресімдеу үшін:</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төленген жағдайларды қоспағанда, лицензияны қайта ресімдеу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3) лицензияны қайта ресімдеу үшін негіз болған өзгерістер туралы ақпаратты қамтитын құжаттың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қызметтің жекелеген түрлерімен айналысу құқығы үшін лицензиялық алымның төленгенін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(бұдан әрі – ДД Заң)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лицензиялық алымның енгізілмеуі;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3)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ДД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көрсетілетін қызметті алушыларға мемлекеттік қызмет көрсету ерекшеліктері: </w:t>
            </w:r>
          </w:p>
          <w:p>
            <w:pPr>
              <w:spacing w:after="20"/>
              <w:ind w:left="20"/>
              <w:jc w:val="both"/>
            </w:pPr>
            <w:r>
              <w:rPr>
                <w:rFonts w:ascii="Times New Roman"/>
                <w:b w:val="false"/>
                <w:i w:val="false"/>
                <w:color w:val="000000"/>
                <w:sz w:val="20"/>
              </w:rPr>
              <w:t>
порталда нашар көретіндерге арналған нұсқа қолжетімді.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www.mam.gov.kz интернет-ресурсында;</w:t>
            </w:r>
          </w:p>
          <w:p>
            <w:pPr>
              <w:spacing w:after="20"/>
              <w:ind w:left="20"/>
              <w:jc w:val="both"/>
            </w:pPr>
            <w:r>
              <w:rPr>
                <w:rFonts w:ascii="Times New Roman"/>
                <w:b w:val="false"/>
                <w:i w:val="false"/>
                <w:color w:val="000000"/>
                <w:sz w:val="20"/>
              </w:rPr>
              <w:t>
2) порталда орналастырылған.</w:t>
            </w:r>
          </w:p>
          <w:p>
            <w:pPr>
              <w:spacing w:after="20"/>
              <w:ind w:left="20"/>
              <w:jc w:val="both"/>
            </w:pPr>
            <w:r>
              <w:rPr>
                <w:rFonts w:ascii="Times New Roman"/>
                <w:b w:val="false"/>
                <w:i w:val="false"/>
                <w:color w:val="000000"/>
                <w:sz w:val="20"/>
              </w:rPr>
              <w:t>
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қызметінің байланыс телефондары көрсетілетін қызметті берушінің www.mam.gov.kz интернет-ресурсында "Мемлекеттік көрсетілетін қызметтер" бөлімінде көрсетілген. </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