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12033" w14:textId="4d120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дәрежелі спортшылармен, жоғары дәрежелі спортшыларды даярлауды жүзеге асыратын жаттықтырушылармен және дене шынықтыру және спорт саласындағы мамандармен спорттық қызмет туралы шарттар бойынша ақша төлемінің мөлшерін бекіту туралы" Қазақстан Республикасы Спорт және дене шынықтыру істері агенттігі төрағасының 2014 жылғы 28 шілдедегі № 296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2025 жылғы 3 сәуірдегі № 47 бұйрығы. Қазақстан Республикасының Әділет министрлігінде 2025 жылғы 4 сәуірде № 35936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"Жоғары дәрежелі спортшылармен, жоғары дәрежелі спортшыларды даярлауды жүзеге асыратын жаттықтырушылармен және дене шынықтыру және спорт саласындағы мамандармен спорттық қызмет туралы шарттар бойынша ақша төлемінің мөлшерін бекіту туралы" Қазақстан Республикасы Спорт және дене шынықтыру істері агенттігі төрағасының 2014 жылғы 28 шілдедегі № 296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9677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"Дене шынықтыру және спорт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52)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орыс тіліндегі мәтініне өзгерістер енгізіледі, қазақ тіліндегі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бұрышы орыс тіліндегі мәтініне өзгеріс енгізіледі, қазақ тіліндегі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жоғарғы оң жақ бұрышы орыс тіліндегі мәтініне өзгеріс енгізіледі, қазақ тіліндегі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жоғары дәрежелі спортшыларды даярлауды жүзеге асыратын жаттықтырушылармен және дене шынықтыру және спорт саласындағы мамандармен спорттық қызмет туралы шарттар бойынша ақша төлемінің </w:t>
      </w:r>
      <w:r>
        <w:rPr>
          <w:rFonts w:ascii="Times New Roman"/>
          <w:b w:val="false"/>
          <w:i w:val="false"/>
          <w:color w:val="000000"/>
          <w:sz w:val="28"/>
        </w:rPr>
        <w:t>мөлшерінде</w:t>
      </w:r>
      <w:r>
        <w:rPr>
          <w:rFonts w:ascii="Times New Roman"/>
          <w:b w:val="false"/>
          <w:i w:val="false"/>
          <w:color w:val="000000"/>
          <w:sz w:val="28"/>
        </w:rPr>
        <w:t>:</w:t>
      </w:r>
    </w:p>
    <w:bookmarkStart w:name="z9" w:id="1"/>
    <w:p>
      <w:pPr>
        <w:spacing w:after="0"/>
        <w:ind w:left="0"/>
        <w:jc w:val="both"/>
      </w:pPr>
      <w:r>
        <w:rPr>
          <w:rFonts w:ascii="Times New Roman"/>
          <w:b w:val="false"/>
          <w:i w:val="false"/>
          <w:color w:val="000000"/>
          <w:sz w:val="28"/>
        </w:rPr>
        <w:t>
      мынадай мазмұндағы реттік нөмірі 5-1-жолмен толықтырылсын: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 және Сурдлимпиада ойындарында медаль жеңіп алуға үміткер спортшыларды даярлауды жүзеге асыратын жаттықтырушы-кеңесшілер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(сегіз жүз) бастап 5000 (бес мың)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2.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w:t>
      </w:r>
    </w:p>
    <w:bookmarkEnd w:id="2"/>
    <w:bookmarkStart w:name="z11"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2" w:id="4"/>
    <w:p>
      <w:pPr>
        <w:spacing w:after="0"/>
        <w:ind w:left="0"/>
        <w:jc w:val="both"/>
      </w:pPr>
      <w:r>
        <w:rPr>
          <w:rFonts w:ascii="Times New Roman"/>
          <w:b w:val="false"/>
          <w:i w:val="false"/>
          <w:color w:val="000000"/>
          <w:sz w:val="28"/>
        </w:rPr>
        <w:t>
      2) осы бұйрық қолданысқа енгізілгеннен кейін үш жұмыс күні ішінде Қазақстан Республикасы Туризм және спорт министрлігінің интернет-ресурсында орналастыруды;</w:t>
      </w:r>
    </w:p>
    <w:bookmarkEnd w:id="4"/>
    <w:bookmarkStart w:name="z13" w:id="5"/>
    <w:p>
      <w:pPr>
        <w:spacing w:after="0"/>
        <w:ind w:left="0"/>
        <w:jc w:val="both"/>
      </w:pPr>
      <w:r>
        <w:rPr>
          <w:rFonts w:ascii="Times New Roman"/>
          <w:b w:val="false"/>
          <w:i w:val="false"/>
          <w:color w:val="000000"/>
          <w:sz w:val="28"/>
        </w:rPr>
        <w:t>
      3) осы бұйрықта көзделген іс-шаралар орындалғаннан кейін үш жұмыс күні ішінде Қазақстан Республикасы Туризм және спорт министрлігінің Заң қызметі департаментіне іс-шаралардың орындалуы туралы мәліметтерді ұсынуды қамтамасыз етсін.</w:t>
      </w:r>
    </w:p>
    <w:bookmarkEnd w:id="5"/>
    <w:bookmarkStart w:name="z14"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Туризм және спорт министрінің орынбасарына жүктелсін.</w:t>
      </w:r>
    </w:p>
    <w:bookmarkEnd w:id="6"/>
    <w:bookmarkStart w:name="z15"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туризм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