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f727" w14:textId="a5ff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26 наурыздағы № 219 бұйрығы. Қазақстан Республикасының Әділет министрлігінде 2025 жылғы 27 наурызда № 35861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22478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және 7) тармақшалармен толықтырылсын:</w:t>
      </w:r>
    </w:p>
    <w:bookmarkStart w:name="z5" w:id="1"/>
    <w:p>
      <w:pPr>
        <w:spacing w:after="0"/>
        <w:ind w:left="0"/>
        <w:jc w:val="both"/>
      </w:pPr>
      <w:r>
        <w:rPr>
          <w:rFonts w:ascii="Times New Roman"/>
          <w:b w:val="false"/>
          <w:i w:val="false"/>
          <w:color w:val="000000"/>
          <w:sz w:val="28"/>
        </w:rPr>
        <w:t>
      "6)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
    <w:bookmarkStart w:name="z6" w:id="2"/>
    <w:p>
      <w:pPr>
        <w:spacing w:after="0"/>
        <w:ind w:left="0"/>
        <w:jc w:val="both"/>
      </w:pPr>
      <w:r>
        <w:rPr>
          <w:rFonts w:ascii="Times New Roman"/>
          <w:b w:val="false"/>
          <w:i w:val="false"/>
          <w:color w:val="000000"/>
          <w:sz w:val="28"/>
        </w:rPr>
        <w:t>
      "7)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8" w:id="3"/>
    <w:p>
      <w:pPr>
        <w:spacing w:after="0"/>
        <w:ind w:left="0"/>
        <w:jc w:val="both"/>
      </w:pPr>
      <w:r>
        <w:rPr>
          <w:rFonts w:ascii="Times New Roman"/>
          <w:b w:val="false"/>
          <w:i w:val="false"/>
          <w:color w:val="000000"/>
          <w:sz w:val="28"/>
        </w:rPr>
        <w:t xml:space="preserve">
      "4. Ақпараттық автоматтандырылған дерекқор арқылы (ақпараттық жүйе) қатардағы, кіші және орта басшы құрам лауазымдарына ІІО-ға қызметке қабылдау ІІМ аппаратының, ІІО бөліністерінің, ІІМ білім беру ұйымдарының кадрларына қабылдай отырып, ІІМ білім беру ұйымдарында бастапқы кәсіби даярлау арқылы жүзеге асырылады. Лауазымға тағайындау сынау мерзімін белгілемей-ақ, кадрға қабылданған күннен бастап бір ай ішінде жүргізіледі.";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Құқық қорғау органы басшысының шешімі бойынша ІІО-ға қызметке конкурстық іріктеуден тыс, қойылатын біліктілік талаптарына сәйкес келетін мынадай адамдар қабылданады:</w:t>
      </w:r>
    </w:p>
    <w:bookmarkEnd w:id="4"/>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p>
      <w:pPr>
        <w:spacing w:after="0"/>
        <w:ind w:left="0"/>
        <w:jc w:val="both"/>
      </w:pPr>
      <w:r>
        <w:rPr>
          <w:rFonts w:ascii="Times New Roman"/>
          <w:b w:val="false"/>
          <w:i w:val="false"/>
          <w:color w:val="000000"/>
          <w:sz w:val="28"/>
        </w:rPr>
        <w:t>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w:t>
      </w:r>
    </w:p>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мемлекеттік мекемелерінде бұрын әскери қызметте болған және әскери лауазымдарды атқарған адамдар – кемінде үш жыл әскери қызмет өтілі болған кезде;</w:t>
      </w:r>
    </w:p>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p>
      <w:pPr>
        <w:spacing w:after="0"/>
        <w:ind w:left="0"/>
        <w:jc w:val="both"/>
      </w:pPr>
      <w:r>
        <w:rPr>
          <w:rFonts w:ascii="Times New Roman"/>
          <w:b w:val="false"/>
          <w:i w:val="false"/>
          <w:color w:val="000000"/>
          <w:sz w:val="28"/>
        </w:rPr>
        <w:t>
      ІІО қызметіне кіретін және аға және жоғары басшы құрам лауазымдарына, сондай-ақ конкурстан тыс іріктеуге тағайындалатын адамдар бастапқы кәсіптік даярлықтан өтпейді.";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"11. Қызметi бойынша жоспарлы ауыстыруды адам мансаптық өсудің барлық кезеңдерінен міндетті түрде өтіп, қойылатын біліктілік талаптарына қатаң сәйкес келген жағдайда, тағайындалатын адамның психологиялық, іскерлік және жеке қасиеттерін және қызметтік жұмыс нәтижелерін ескере отырып, ІІМ-нің уәкілетті басшысы, ІІО бөліністерінің, ІІМ білім беру ұйымдарының уәкілетті басшылары жүргiзедi.";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Қатардағы және басшы құрамдағы адамдарды қызмет бойынша ауыстыруға ұсыну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бланкіде жасалады және лауазымдар номенклатурасына сәйкес жеке құрам бойынша бұйрықтар шығаруға құқығы бар лауазымды адамдарға жолданады және ІІМ аппаратының мүдделі қызметтерінің, ІІО бөліністерінің, ІІМ білім беру ұйымдарының басшыларымен келісуге тиіс.</w:t>
      </w:r>
    </w:p>
    <w:p>
      <w:pPr>
        <w:spacing w:after="0"/>
        <w:ind w:left="0"/>
        <w:jc w:val="both"/>
      </w:pPr>
      <w:r>
        <w:rPr>
          <w:rFonts w:ascii="Times New Roman"/>
          <w:b w:val="false"/>
          <w:i w:val="false"/>
          <w:color w:val="000000"/>
          <w:sz w:val="28"/>
        </w:rPr>
        <w:t xml:space="preserve">
      Әрбір жоғары тұрған басшы лауазымға бәсекеге қабілеттіліктің ең жоғары көрсеткішін (цифрлық рейтинг) алған кемінде бес кандидат ұсынылады. Материалдар осы Нұсқаулықтың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тармақшасына сәйкес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"65. Қызметкерді іссапарларға жіберу тиісті лауазымдарға тағайындауға құқығы бар ІІМ уәкілетті басшысының, ІІО бөлінісінің, ІІМ білім беру ұйымының уәкілетті басшысының бұйрығымен жүзеге асырылады.</w:t>
      </w:r>
    </w:p>
    <w:bookmarkEnd w:id="6"/>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p>
      <w:pPr>
        <w:spacing w:after="0"/>
        <w:ind w:left="0"/>
        <w:jc w:val="both"/>
      </w:pPr>
      <w:r>
        <w:rPr>
          <w:rFonts w:ascii="Times New Roman"/>
          <w:b w:val="false"/>
          <w:i w:val="false"/>
          <w:color w:val="000000"/>
          <w:sz w:val="28"/>
        </w:rPr>
        <w:t>
      Кадр қызметі қызметкерді қызметке қабылдайтын органға іссапарға жіберу туралы бұйрықтан үзінді көшірмені қоса бере отырып, хат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18" w:id="7"/>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7"/>
    <w:bookmarkStart w:name="z1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бес жұмыс күні ішінде Қазақстан Республикасы Ішкі істер министрлігінің Заң мен шығармашылықты үйлестіру департаментіне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алтыншы және жетінші абзацтарын қоспағанда,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26 наурыздағы</w:t>
            </w:r>
            <w:r>
              <w:br/>
            </w:r>
            <w:r>
              <w:rPr>
                <w:rFonts w:ascii="Times New Roman"/>
                <w:b w:val="false"/>
                <w:i w:val="false"/>
                <w:color w:val="000000"/>
                <w:sz w:val="20"/>
              </w:rPr>
              <w:t>№ 219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 xml:space="preserve">демалыстар беру арнаулы </w:t>
            </w:r>
            <w:r>
              <w:br/>
            </w:r>
            <w:r>
              <w:rPr>
                <w:rFonts w:ascii="Times New Roman"/>
                <w:b w:val="false"/>
                <w:i w:val="false"/>
                <w:color w:val="000000"/>
                <w:sz w:val="20"/>
              </w:rPr>
              <w:t xml:space="preserve">атақтарды беру, жұмыстан </w:t>
            </w:r>
            <w:r>
              <w:br/>
            </w:r>
            <w:r>
              <w:rPr>
                <w:rFonts w:ascii="Times New Roman"/>
                <w:b w:val="false"/>
                <w:i w:val="false"/>
                <w:color w:val="000000"/>
                <w:sz w:val="20"/>
              </w:rPr>
              <w:t xml:space="preserve">шығару және іссапарға жіберу </w:t>
            </w:r>
            <w:r>
              <w:br/>
            </w:r>
            <w:r>
              <w:rPr>
                <w:rFonts w:ascii="Times New Roman"/>
                <w:b w:val="false"/>
                <w:i w:val="false"/>
                <w:color w:val="000000"/>
                <w:sz w:val="20"/>
              </w:rPr>
              <w:t xml:space="preserve">жөніндегі нұсқаулығына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0"/>
    <w:p>
      <w:pPr>
        <w:spacing w:after="0"/>
        <w:ind w:left="0"/>
        <w:jc w:val="left"/>
      </w:pPr>
      <w:r>
        <w:rPr>
          <w:rFonts w:ascii="Times New Roman"/>
          <w:b/>
          <w:i w:val="false"/>
          <w:color w:val="000000"/>
        </w:rPr>
        <w:t xml:space="preserve"> Ұсыным (тағайындауға, босатуға, ауыстыруға)</w:t>
      </w:r>
    </w:p>
    <w:bookmarkEnd w:id="10"/>
    <w:bookmarkStart w:name="z26" w:id="11"/>
    <w:p>
      <w:pPr>
        <w:spacing w:after="0"/>
        <w:ind w:left="0"/>
        <w:jc w:val="both"/>
      </w:pPr>
      <w:r>
        <w:rPr>
          <w:rFonts w:ascii="Times New Roman"/>
          <w:b w:val="false"/>
          <w:i w:val="false"/>
          <w:color w:val="000000"/>
          <w:sz w:val="28"/>
        </w:rPr>
        <w:t>
      1.___________________________________________________________________</w:t>
      </w:r>
    </w:p>
    <w:bookmarkEnd w:id="11"/>
    <w:p>
      <w:pPr>
        <w:spacing w:after="0"/>
        <w:ind w:left="0"/>
        <w:jc w:val="both"/>
      </w:pPr>
      <w:r>
        <w:rPr>
          <w:rFonts w:ascii="Times New Roman"/>
          <w:b w:val="false"/>
          <w:i w:val="false"/>
          <w:color w:val="000000"/>
          <w:sz w:val="28"/>
        </w:rPr>
        <w:t>
      (арнаулы (әскери) атағы, тегі, аты, әкесінің аты (бар болған жағдайда), жеке №,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ұсынылады.</w:t>
      </w:r>
    </w:p>
    <w:p>
      <w:pPr>
        <w:spacing w:after="0"/>
        <w:ind w:left="0"/>
        <w:jc w:val="both"/>
      </w:pPr>
      <w:r>
        <w:rPr>
          <w:rFonts w:ascii="Times New Roman"/>
          <w:b w:val="false"/>
          <w:i w:val="false"/>
          <w:color w:val="000000"/>
          <w:sz w:val="28"/>
        </w:rPr>
        <w:t>
      туған жылы, туған жері ______________________________________________</w:t>
      </w:r>
    </w:p>
    <w:p>
      <w:pPr>
        <w:spacing w:after="0"/>
        <w:ind w:left="0"/>
        <w:jc w:val="both"/>
      </w:pPr>
      <w:r>
        <w:rPr>
          <w:rFonts w:ascii="Times New Roman"/>
          <w:b w:val="false"/>
          <w:i w:val="false"/>
          <w:color w:val="000000"/>
          <w:sz w:val="28"/>
        </w:rPr>
        <w:t>
      Білімі, аяқтады (қашан және нені) 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w:t>
      </w:r>
    </w:p>
    <w:p>
      <w:pPr>
        <w:spacing w:after="0"/>
        <w:ind w:left="0"/>
        <w:jc w:val="both"/>
      </w:pPr>
      <w:r>
        <w:rPr>
          <w:rFonts w:ascii="Times New Roman"/>
          <w:b w:val="false"/>
          <w:i w:val="false"/>
          <w:color w:val="000000"/>
          <w:sz w:val="28"/>
        </w:rPr>
        <w:t>
      Қандай тілдерді меңгерген ________________________________________</w:t>
      </w:r>
    </w:p>
    <w:p>
      <w:pPr>
        <w:spacing w:after="0"/>
        <w:ind w:left="0"/>
        <w:jc w:val="both"/>
      </w:pPr>
      <w:r>
        <w:rPr>
          <w:rFonts w:ascii="Times New Roman"/>
          <w:b w:val="false"/>
          <w:i w:val="false"/>
          <w:color w:val="000000"/>
          <w:sz w:val="28"/>
        </w:rPr>
        <w:t>
      Отбасы жағдайы (жанұя құрамы)_______________________ ________________</w:t>
      </w:r>
    </w:p>
    <w:bookmarkStart w:name="z27" w:id="12"/>
    <w:p>
      <w:pPr>
        <w:spacing w:after="0"/>
        <w:ind w:left="0"/>
        <w:jc w:val="left"/>
      </w:pPr>
      <w:r>
        <w:rPr>
          <w:rFonts w:ascii="Times New Roman"/>
          <w:b/>
          <w:i w:val="false"/>
          <w:color w:val="000000"/>
        </w:rPr>
        <w:t xml:space="preserve"> 2. Негіздеме</w:t>
      </w:r>
    </w:p>
    <w:bookmarkEnd w:id="12"/>
    <w:p>
      <w:pPr>
        <w:spacing w:after="0"/>
        <w:ind w:left="0"/>
        <w:jc w:val="both"/>
      </w:pPr>
      <w:r>
        <w:rPr>
          <w:rFonts w:ascii="Times New Roman"/>
          <w:b w:val="false"/>
          <w:i w:val="false"/>
          <w:color w:val="000000"/>
          <w:sz w:val="28"/>
        </w:rPr>
        <w:t xml:space="preserve">
      _____________________________________________________________ үшін </w:t>
      </w:r>
    </w:p>
    <w:p>
      <w:pPr>
        <w:spacing w:after="0"/>
        <w:ind w:left="0"/>
        <w:jc w:val="both"/>
      </w:pPr>
      <w:r>
        <w:rPr>
          <w:rFonts w:ascii="Times New Roman"/>
          <w:b w:val="false"/>
          <w:i w:val="false"/>
          <w:color w:val="000000"/>
          <w:sz w:val="28"/>
        </w:rPr>
        <w:t>
                  (тағайындау, босату, ауыстыру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қолы) 20__ жылғы "___" _________</w:t>
      </w:r>
    </w:p>
    <w:bookmarkStart w:name="z28" w:id="13"/>
    <w:p>
      <w:pPr>
        <w:spacing w:after="0"/>
        <w:ind w:left="0"/>
        <w:jc w:val="left"/>
      </w:pPr>
      <w:r>
        <w:rPr>
          <w:rFonts w:ascii="Times New Roman"/>
          <w:b/>
          <w:i w:val="false"/>
          <w:color w:val="000000"/>
        </w:rPr>
        <w:t xml:space="preserve"> 3. Уәкілетті басшының қорытындысы</w:t>
      </w:r>
    </w:p>
    <w:bookmarkEnd w:id="13"/>
    <w:bookmarkStart w:name="z29" w:id="14"/>
    <w:p>
      <w:pPr>
        <w:spacing w:after="0"/>
        <w:ind w:left="0"/>
        <w:jc w:val="left"/>
      </w:pPr>
      <w:r>
        <w:rPr>
          <w:rFonts w:ascii="Times New Roman"/>
          <w:b/>
          <w:i w:val="false"/>
          <w:color w:val="000000"/>
        </w:rPr>
        <w:t xml:space="preserve"> 4. Кадр қызметінің қорытындысы</w:t>
      </w:r>
    </w:p>
    <w:bookmarkEnd w:id="14"/>
    <w:p>
      <w:pPr>
        <w:spacing w:after="0"/>
        <w:ind w:left="0"/>
        <w:jc w:val="both"/>
      </w:pPr>
      <w:r>
        <w:rPr>
          <w:rFonts w:ascii="Times New Roman"/>
          <w:b w:val="false"/>
          <w:i w:val="false"/>
          <w:color w:val="000000"/>
          <w:sz w:val="28"/>
        </w:rPr>
        <w:t>
      Ескертпе: ұсыным мәтінінде міндетті түрде цифрлық рейтинг деректері, жоспардан тыс аттестаттаудың шешімдері (жоғары тұрған басшы лауазымдарға ауыстыру кезінде)соңғы (үш жыл ішінде) аттестаттау бойынша қорытындылар, әскери-дәрігерлік комиссиядан өту (оқуға түсуіне байланысты, жоғары тұрған лауазымдарға ауысу, денсаулық жағдайы бойынша төмен тұрған лауазымдарға ауысу жағдайларында) және қосымша арнайы тексеру (қажет болған кезде) нәтижелері, құпия жұмыстар мен құжаттарға рұқсаттың болуы, кандидатты ұсынған (жоғары тұрған лаузымға ауыстырған жағдайда) лауазымды адамдардың тегі, ал қажет болған жағдайларда тағайындауды облыстардың әкімдерімен келісу туралы мәліметтер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