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8e2a" w14:textId="41c8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Ақпарат және қоғамдық даму министрінің 2023 жылғы 23 маусымдағы № 258-НҚ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14 наурыздағы № 96-НҚ бұйрығы. Қазақстан Республикасының Әділет министрлігінде 2025 жылғы 17 наурызда № 35828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17.03.2025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(Нормативтік құқықтық актілерді мемлекеттік тіркеу тізілімінде № 32902 болып тіркелген) Қазақстан Республикасы Ақпарат және қоғамдық даму министрінің 2023 жылғы 23 маусымдағы № 258-НҚ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Халықтың әлеуметтік жағынан осал топтарын көшірме жасауға немесе басып шығаруға жұмсалатын шығындарды төлеуден босату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Көшірме жасауға немесе басып шығаруға жұмсалатын нақты шығындарды төлеуден мынадай әлеуметтік осал топтарға жататын ақпарат пайдаланушылар босатылады:</w:t>
      </w:r>
    </w:p>
    <w:bookmarkStart w:name="z6" w:id="1"/>
    <w:p>
      <w:pPr>
        <w:spacing w:after="0"/>
        <w:ind w:left="0"/>
        <w:jc w:val="both"/>
      </w:pPr>
      <w:r>
        <w:rPr>
          <w:rFonts w:ascii="Times New Roman"/>
          <w:b w:val="false"/>
          <w:i w:val="false"/>
          <w:color w:val="000000"/>
          <w:sz w:val="28"/>
        </w:rPr>
        <w:t>
      1) Ұлы Отан соғысының ардагерлері;</w:t>
      </w:r>
    </w:p>
    <w:bookmarkEnd w:id="1"/>
    <w:bookmarkStart w:name="z7" w:id="2"/>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2"/>
    <w:bookmarkStart w:name="z8" w:id="3"/>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3"/>
    <w:bookmarkStart w:name="z9" w:id="4"/>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4"/>
    <w:bookmarkStart w:name="z10" w:id="5"/>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5"/>
    <w:bookmarkStart w:name="z11" w:id="6"/>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6"/>
    <w:bookmarkStart w:name="z12" w:id="7"/>
    <w:p>
      <w:pPr>
        <w:spacing w:after="0"/>
        <w:ind w:left="0"/>
        <w:jc w:val="both"/>
      </w:pPr>
      <w:r>
        <w:rPr>
          <w:rFonts w:ascii="Times New Roman"/>
          <w:b w:val="false"/>
          <w:i w:val="false"/>
          <w:color w:val="000000"/>
          <w:sz w:val="28"/>
        </w:rPr>
        <w:t>
      7) жасына қарай зейнет демалысына шыққан зейнеткерлер;</w:t>
      </w:r>
    </w:p>
    <w:bookmarkEnd w:id="7"/>
    <w:bookmarkStart w:name="z13" w:id="8"/>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8"/>
    <w:bookmarkStart w:name="z14" w:id="9"/>
    <w:p>
      <w:pPr>
        <w:spacing w:after="0"/>
        <w:ind w:left="0"/>
        <w:jc w:val="both"/>
      </w:pPr>
      <w:r>
        <w:rPr>
          <w:rFonts w:ascii="Times New Roman"/>
          <w:b w:val="false"/>
          <w:i w:val="false"/>
          <w:color w:val="000000"/>
          <w:sz w:val="28"/>
        </w:rPr>
        <w:t>
      9) қандастар;</w:t>
      </w:r>
    </w:p>
    <w:bookmarkEnd w:id="9"/>
    <w:bookmarkStart w:name="z15" w:id="10"/>
    <w:p>
      <w:pPr>
        <w:spacing w:after="0"/>
        <w:ind w:left="0"/>
        <w:jc w:val="both"/>
      </w:pPr>
      <w:r>
        <w:rPr>
          <w:rFonts w:ascii="Times New Roman"/>
          <w:b w:val="false"/>
          <w:i w:val="false"/>
          <w:color w:val="000000"/>
          <w:sz w:val="28"/>
        </w:rPr>
        <w:t>
      10) экологиялық зілзалалар, табиғи және техногендi сипаттағы төтенше жағдайлар салдарынан тұрғын үйінен айырылған адамдар;</w:t>
      </w:r>
    </w:p>
    <w:bookmarkEnd w:id="10"/>
    <w:bookmarkStart w:name="z16" w:id="11"/>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1"/>
    <w:bookmarkStart w:name="z17" w:id="12"/>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2"/>
    <w:bookmarkStart w:name="z18" w:id="13"/>
    <w:p>
      <w:pPr>
        <w:spacing w:after="0"/>
        <w:ind w:left="0"/>
        <w:jc w:val="both"/>
      </w:pPr>
      <w:r>
        <w:rPr>
          <w:rFonts w:ascii="Times New Roman"/>
          <w:b w:val="false"/>
          <w:i w:val="false"/>
          <w:color w:val="000000"/>
          <w:sz w:val="28"/>
        </w:rPr>
        <w:t>
      13) толық емес отбасылар;</w:t>
      </w:r>
    </w:p>
    <w:bookmarkEnd w:id="13"/>
    <w:bookmarkStart w:name="z19" w:id="14"/>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4"/>
    <w:bookmarkStart w:name="z20" w:id="15"/>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17"/>
    <w:bookmarkStart w:name="z23"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2025 жылғы 17 наурыздан бастап қолданысқа енгізіледі және ресми жариялануы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Кочетов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