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1c3f" w14:textId="66a1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Қазақстан Республикасы Сыртқы істер министрінің 2013 жылғы 29 тамыздағы № 08-1-1-1/375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14 наурыздағы № 11-1-4/139 бұйрығы. Қазақстан Республикасының Әділет министрлігінде 2025 жылғы 14 наурызда № 35820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Сыртқы істер министрінің 2013 жылғы 29 тамыздағы № 08-1-1-1/375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8797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49-жол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әскери, теңіз және авиациялық атташелерін аккредиттеу туралы мәлімет:</w:t>
            </w:r>
          </w:p>
          <w:p>
            <w:pPr>
              <w:spacing w:after="20"/>
              <w:ind w:left="20"/>
              <w:jc w:val="both"/>
            </w:pPr>
            <w:r>
              <w:rPr>
                <w:rFonts w:ascii="Times New Roman"/>
                <w:b w:val="false"/>
                <w:i w:val="false"/>
                <w:color w:val="000000"/>
                <w:sz w:val="20"/>
              </w:rPr>
              <w:t>
аккредиттеу күні, мерзімі;</w:t>
            </w:r>
          </w:p>
          <w:p>
            <w:pPr>
              <w:spacing w:after="20"/>
              <w:ind w:left="20"/>
              <w:jc w:val="both"/>
            </w:pPr>
            <w:r>
              <w:rPr>
                <w:rFonts w:ascii="Times New Roman"/>
                <w:b w:val="false"/>
                <w:i w:val="false"/>
                <w:color w:val="000000"/>
                <w:sz w:val="20"/>
              </w:rPr>
              <w:t>
аккредиттеуді тоқтату немесе күшін жою негізі, күні;</w:t>
            </w:r>
          </w:p>
          <w:p>
            <w:pPr>
              <w:spacing w:after="20"/>
              <w:ind w:left="20"/>
              <w:jc w:val="both"/>
            </w:pPr>
            <w:r>
              <w:rPr>
                <w:rFonts w:ascii="Times New Roman"/>
                <w:b w:val="false"/>
                <w:i w:val="false"/>
                <w:color w:val="000000"/>
                <w:sz w:val="20"/>
              </w:rPr>
              <w:t>
аккредиттелген куәліктің деректері</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Сыртқы істер министрлігінің Адам ресурстары департаменті Қазақстан Республикасы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интернет-ресурсына орналастыруын;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