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f11b" w14:textId="636f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ақпандағы № 8 бұйрығы. Қазақстан Республикасының Әділет министрлігінде 2025 жылғы 28 ақпанда № 35761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"48. Тауарларды, жұмыстарды, көрсетілетін қызметтерді сатып алу порталда мынадай тәсілдердің бірімен: </w:t>
      </w:r>
    </w:p>
    <w:bookmarkEnd w:id="1"/>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ресми жарияланғанынан кейін Қазақстан Республикасы Ұлттық экономика министрлігінің интернет-ресурсында орналастыруды қамтамасыз етсін. </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