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a67f" w14:textId="36ca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5 шiлдедегi № 196 қаулысы. Солтүстік Қазақстан облысының Әділет департаментінде 2024 жылғы 11 шiлдеде № 7776-15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 ның ауданы (гектар)/ұзын дығы (кило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 ғау айма ғының ені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 уінің ені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Шал ақын, Есіл, Қызылжар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67°4’12.03”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53°31’33.39”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67°3’46.77”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Юбилейный, Ұзынжар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өзені (Шарық су қоймасын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52°55’27.00”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72°51’21.00”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52°58’20.00”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72°57’16.00”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Шат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52°56’54.00”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72°45’47.00”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52°58’22.00”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72°57’15.00”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Семізбай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 учаскесі (№ 15-157-062-148, № 15-157-062-145, № 15-157-062-042 және № 15-157-062-164 "Исағали" ЖШС жер учаскелерінің шекаралары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көлінің учаскесі ("Явленское-МТС" ЖШС суармалау жүйесі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Виноградов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 Новомихайловка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 (Жагрин)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Көкалажар,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