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37e7" w14:textId="de63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бойынша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Павлодар облысы Успен аудандық мәслихатының 2024 жылғы 13 қыркүйектегі № 114/22 шешімі. Павлодар облысының Әділет департаментінде 2024 жылғы 17 қыркүйекте № 7596-14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Павлодар облысы Успен аудандық мәслихатының 09.04.2026 </w:t>
      </w:r>
      <w:r>
        <w:rPr>
          <w:rFonts w:ascii="Times New Roman"/>
          <w:b w:val="false"/>
          <w:i w:val="false"/>
          <w:color w:val="ff0000"/>
          <w:sz w:val="28"/>
        </w:rPr>
        <w:t>№ 222/50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5-тармағына,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Успен ауданы бойынша тұрғын үй көмегін көрсетудің мөлшері мен қағидаларын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Успен аудандық мәслихатының 09.04.2026 </w:t>
      </w:r>
      <w:r>
        <w:rPr>
          <w:rFonts w:ascii="Times New Roman"/>
          <w:b w:val="false"/>
          <w:i w:val="false"/>
          <w:color w:val="000000"/>
          <w:sz w:val="28"/>
        </w:rPr>
        <w:t>№ 222/50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Успен аудандық мәслихатының тұрақты комиссияларына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13 қыркүйектегі № 114/22</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Успен ауданы бойынша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аудандық мәслихатының 09.04.2026 </w:t>
      </w:r>
      <w:r>
        <w:rPr>
          <w:rFonts w:ascii="Times New Roman"/>
          <w:b w:val="false"/>
          <w:i w:val="false"/>
          <w:color w:val="ff0000"/>
          <w:sz w:val="28"/>
        </w:rPr>
        <w:t>№ 222/50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Успен ауданының аумағында меншік құқығында тұрған тұрғынжайды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9" w:id="7"/>
    <w:p>
      <w:pPr>
        <w:spacing w:after="0"/>
        <w:ind w:left="0"/>
        <w:jc w:val="both"/>
      </w:pPr>
      <w:r>
        <w:rPr>
          <w:rFonts w:ascii="Times New Roman"/>
          <w:b w:val="false"/>
          <w:i w:val="false"/>
          <w:color w:val="000000"/>
          <w:sz w:val="28"/>
        </w:rPr>
        <w:t>
      2. Тұрғын үй көмегін тағайындау "Успен ауданының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7"/>
    <w:bookmarkStart w:name="z10" w:id="8"/>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шекті жол берілетін деңгейі 5 (бес) пайыз мөлшерінде айқындалады.</w:t>
      </w:r>
    </w:p>
    <w:bookmarkEnd w:id="8"/>
    <w:bookmarkStart w:name="z11" w:id="9"/>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9"/>
    <w:bookmarkStart w:name="z12" w:id="10"/>
    <w:p>
      <w:pPr>
        <w:spacing w:after="0"/>
        <w:ind w:left="0"/>
        <w:jc w:val="both"/>
      </w:pPr>
      <w:r>
        <w:rPr>
          <w:rFonts w:ascii="Times New Roman"/>
          <w:b w:val="false"/>
          <w:i w:val="false"/>
          <w:color w:val="000000"/>
          <w:sz w:val="28"/>
        </w:rPr>
        <w:t xml:space="preserve">
      4. Тұрғын үй көмегінің мөлшерін көрсетілетін қызметті беруші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бекітілген Тұрғын үй көмегін беру қағидаларының (бұдан әрі - Қағидалар) 4-1-тармағына сәйкес есептейді.</w:t>
      </w:r>
    </w:p>
    <w:bookmarkEnd w:id="10"/>
    <w:bookmarkStart w:name="z13" w:id="11"/>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1"/>
    <w:bookmarkStart w:name="z14" w:id="12"/>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Қағидаларға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12"/>
    <w:bookmarkStart w:name="z15" w:id="13"/>
    <w:p>
      <w:pPr>
        <w:spacing w:after="0"/>
        <w:ind w:left="0"/>
        <w:jc w:val="both"/>
      </w:pPr>
      <w:r>
        <w:rPr>
          <w:rFonts w:ascii="Times New Roman"/>
          <w:b w:val="false"/>
          <w:i w:val="false"/>
          <w:color w:val="000000"/>
          <w:sz w:val="28"/>
        </w:rPr>
        <w:t>
      7.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6 (алты) жұмыс күнін құрайды.</w:t>
      </w:r>
    </w:p>
    <w:bookmarkEnd w:id="13"/>
    <w:bookmarkStart w:name="z16" w:id="14"/>
    <w:p>
      <w:pPr>
        <w:spacing w:after="0"/>
        <w:ind w:left="0"/>
        <w:jc w:val="both"/>
      </w:pPr>
      <w:r>
        <w:rPr>
          <w:rFonts w:ascii="Times New Roman"/>
          <w:b w:val="false"/>
          <w:i w:val="false"/>
          <w:color w:val="000000"/>
          <w:sz w:val="28"/>
        </w:rPr>
        <w:t>
      8.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 Көрсетілетін қызметті алушының жиынтық кірісі көрсетілетін қызметті берушімен Қағидаларға сәйкес есептейді.</w:t>
      </w:r>
    </w:p>
    <w:bookmarkEnd w:id="14"/>
    <w:bookmarkStart w:name="z17" w:id="15"/>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