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14e5" w14:textId="9ed1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2024 жылғы 28 наурыздағы № 119/18 "Ақсу қаласы бойынша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2024 жылғы 25 қыркүйектегі № 150/24 шешімі. Павлодар облысының Әділет департаментінде 2024 жылғы 26 қыркүйекте № 7599-14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қалалық мәслихатының "Ақсу қаласы бойынша тұрғын үй көмегін көрсетудің мөлшері мен тәртібін айқындау туралы" 2024 жылғы 28 наурыздағы № 119/18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7531-14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 150/24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119/18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Ақсу қаласы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Ақсу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"Ақсу қаласының жұмыспен қамту және әлеуметтік бағдарламалар бөлімі" мемлекеттік мекемесімен (бұдан әрі – көрсетілетін қызметті беруші) тегін негізде жүзеге асыралады.</w:t>
      </w:r>
    </w:p>
    <w:bookmarkEnd w:id="6"/>
    <w:bookmarkStart w:name="z9" w:id="7"/>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33763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қызмет алушының осы мақсаттарға жұмсайтын шығыстарының арасындағы жергілікті өкілді орган белгілеген айырма ретінде және жергілікті өкілді орган белгілеген осы мақсаттарға көрсетілетін қызметті алушылардың шығыстарының шекті жол берілетін деңгейі 5 (бес) пайыз мөлшерінде айқындалады.</w:t>
      </w:r>
    </w:p>
    <w:bookmarkEnd w:id="8"/>
    <w:bookmarkStart w:name="z11" w:id="9"/>
    <w:p>
      <w:pPr>
        <w:spacing w:after="0"/>
        <w:ind w:left="0"/>
        <w:jc w:val="both"/>
      </w:pPr>
      <w:r>
        <w:rPr>
          <w:rFonts w:ascii="Times New Roman"/>
          <w:b w:val="false"/>
          <w:i w:val="false"/>
          <w:color w:val="000000"/>
          <w:sz w:val="28"/>
        </w:rPr>
        <w:t>
      5. Көрсетілетін қызметті алушылырға тұрғын үй көмегін тағайындау төмендегі нормаларға сәйкес жүргізіледі:</w:t>
      </w:r>
    </w:p>
    <w:bookmarkEnd w:id="9"/>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2" w:id="10"/>
    <w:p>
      <w:pPr>
        <w:spacing w:after="0"/>
        <w:ind w:left="0"/>
        <w:jc w:val="both"/>
      </w:pPr>
      <w:r>
        <w:rPr>
          <w:rFonts w:ascii="Times New Roman"/>
          <w:b w:val="false"/>
          <w:i w:val="false"/>
          <w:color w:val="000000"/>
          <w:sz w:val="28"/>
        </w:rPr>
        <w:t>
      6. Коммуналдық қызметтерді тұтыну нормалары тоқсан сайын қызмет көрсетушілер тұтынушыларға өтемақы шараларымен ұсынады.</w:t>
      </w:r>
    </w:p>
    <w:bookmarkEnd w:id="10"/>
    <w:bookmarkStart w:name="z13" w:id="11"/>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8. Тұрғын үй көмегін тағайындау үшін көрсетілетін қызметті алушы (немесе оның сенiмхатқа, заңдарға, сот шешiмiне не әкiмшiлiк құжатқа негiзделген өкiлi) Қағидалардың 2-қосымшасының 8-тармағына сәйкес құжаттар тізбесін ұсына отырып, тоқсанына бір рет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2"/>
    <w:bookmarkStart w:name="z15" w:id="1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1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16" w:id="14"/>
    <w:p>
      <w:pPr>
        <w:spacing w:after="0"/>
        <w:ind w:left="0"/>
        <w:jc w:val="both"/>
      </w:pPr>
      <w:r>
        <w:rPr>
          <w:rFonts w:ascii="Times New Roman"/>
          <w:b w:val="false"/>
          <w:i w:val="false"/>
          <w:color w:val="000000"/>
          <w:sz w:val="28"/>
        </w:rPr>
        <w:t>
      10.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 құжаттардың толық топтамасын қабылдаған күннен бастап сегіз жұмыс күнін құрайды.</w:t>
      </w:r>
    </w:p>
    <w:bookmarkEnd w:id="14"/>
    <w:bookmarkStart w:name="z17" w:id="15"/>
    <w:p>
      <w:pPr>
        <w:spacing w:after="0"/>
        <w:ind w:left="0"/>
        <w:jc w:val="both"/>
      </w:pPr>
      <w:r>
        <w:rPr>
          <w:rFonts w:ascii="Times New Roman"/>
          <w:b w:val="false"/>
          <w:i w:val="false"/>
          <w:color w:val="000000"/>
          <w:sz w:val="28"/>
        </w:rPr>
        <w:t>
      11. Тұрғын үй көмегі кондоминиум объектісін басқаруға және ортақ мүлікті ұстауға ай сайынғы жарналар үшін өнім берушілер ұсынған шот-фактуралар мен жиынтық табыс туралы ағымдағы тоқсанда құжаттарды тапсыру уақытына қарамастан бір тоқсанға тағайындалады, кондоминиум объектісінің, оның ішінде кондоминиум объектісінің ортақ мүлкін күрделі жөндеуден өткен тоқсанда телекоммуникация желісіне қосылған телефонға абоненттік төлемнің ұлғаюы бөлігінде шығындар сметасы мен коммуналдық және байланыс қызметтеріне шоттарды қоса алғанда.</w:t>
      </w:r>
    </w:p>
    <w:bookmarkEnd w:id="15"/>
    <w:bookmarkStart w:name="z18" w:id="16"/>
    <w:p>
      <w:pPr>
        <w:spacing w:after="0"/>
        <w:ind w:left="0"/>
        <w:jc w:val="both"/>
      </w:pPr>
      <w:r>
        <w:rPr>
          <w:rFonts w:ascii="Times New Roman"/>
          <w:b w:val="false"/>
          <w:i w:val="false"/>
          <w:color w:val="000000"/>
          <w:sz w:val="28"/>
        </w:rPr>
        <w:t>
      12. Тұрғын үй көмегін тағайындау көрсетілетін қызметті алушылырға тиісті қаржы жылына арналған қала бюджетінде көзделген қаражат шегінде жүзеге асырылады.</w:t>
      </w:r>
    </w:p>
    <w:bookmarkEnd w:id="16"/>
    <w:bookmarkStart w:name="z19" w:id="17"/>
    <w:p>
      <w:pPr>
        <w:spacing w:after="0"/>
        <w:ind w:left="0"/>
        <w:jc w:val="both"/>
      </w:pPr>
      <w:r>
        <w:rPr>
          <w:rFonts w:ascii="Times New Roman"/>
          <w:b w:val="false"/>
          <w:i w:val="false"/>
          <w:color w:val="000000"/>
          <w:sz w:val="28"/>
        </w:rPr>
        <w:t>
      13. Көрсетілетін қызметті алушылырға тұрғын үй көмегін төлеуді көрсетілетін қызметті беруші есептелген сомаларды тұрғын үй көмегін алушылардың немесе қызметтерді жеткізушілердің ағымдағы шоттарына екінші денгейдегі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