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5d47" w14:textId="9545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 құқығын беру туралы</w:t>
      </w:r>
    </w:p>
    <w:p>
      <w:pPr>
        <w:spacing w:after="0"/>
        <w:ind w:left="0"/>
        <w:jc w:val="both"/>
      </w:pPr>
      <w:r>
        <w:rPr>
          <w:rFonts w:ascii="Times New Roman"/>
          <w:b w:val="false"/>
          <w:i w:val="false"/>
          <w:color w:val="000000"/>
          <w:sz w:val="28"/>
        </w:rPr>
        <w:t>Жетісу облыстық мәслихатының 2024 жылғы 16 қыркүйектегі № 20-126 шешімі. Жетісу облысы Әділет департаментінде 2024 жылы 18 қыркүйекте № 242-19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 "Білім туралы" Заңының 6-бабы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47-бабы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1. Жетісу облысының жергілікті бюджетінің есебінен қаржыландырылатын, Талдықорған қаласында орналасқан, барлық білім беру ұйымдарының күндізгі оқу нысаны бойынша білім алушылары мен тәрбиеленушілеріне қоғамдық көлікте (таксиден басқа) жеңілдікпен тегін жол жүру құқығы берілсін.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Жетісу облысы әкімінің жетекшілік ететін орынбасарына жүктелсін (келісім бойынша).</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