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e606" w14:textId="dcce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Ұлытау облысы Ұлытау аудандық мәслихатының 2024 жылғы 30 желтоқсандағы № 172 шешімі. Ұлытау облысының Әділет департаментінде 2024 жылғы 30 желтоқсанда № 172-20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сертификаттарының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30</w:t>
            </w:r>
            <w:r>
              <w:br/>
            </w:r>
            <w:r>
              <w:rPr>
                <w:rFonts w:ascii="Times New Roman"/>
                <w:b w:val="false"/>
                <w:i w:val="false"/>
                <w:color w:val="000000"/>
                <w:sz w:val="20"/>
              </w:rPr>
              <w:t>желтоқсандағы</w:t>
            </w:r>
            <w:r>
              <w:br/>
            </w:r>
            <w:r>
              <w:rPr>
                <w:rFonts w:ascii="Times New Roman"/>
                <w:b w:val="false"/>
                <w:i w:val="false"/>
                <w:color w:val="000000"/>
                <w:sz w:val="20"/>
              </w:rPr>
              <w:t>№ 172</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Тұрғын үй сертификаттарының мөлшері</w:t>
      </w:r>
    </w:p>
    <w:bookmarkEnd w:id="4"/>
    <w:bookmarkStart w:name="z11" w:id="5"/>
    <w:p>
      <w:pPr>
        <w:spacing w:after="0"/>
        <w:ind w:left="0"/>
        <w:jc w:val="both"/>
      </w:pPr>
      <w:r>
        <w:rPr>
          <w:rFonts w:ascii="Times New Roman"/>
          <w:b w:val="false"/>
          <w:i w:val="false"/>
          <w:color w:val="000000"/>
          <w:sz w:val="28"/>
        </w:rPr>
        <w:t>
      1. Қарыз сомасынан 10%, алайда әлеуметтік көмек түрі ретінде 1 500 000 (бір миллион бес жүз мың) теңгеден артық емес.</w:t>
      </w:r>
    </w:p>
    <w:bookmarkEnd w:id="5"/>
    <w:bookmarkStart w:name="z12" w:id="6"/>
    <w:p>
      <w:pPr>
        <w:spacing w:after="0"/>
        <w:ind w:left="0"/>
        <w:jc w:val="both"/>
      </w:pPr>
      <w:r>
        <w:rPr>
          <w:rFonts w:ascii="Times New Roman"/>
          <w:b w:val="false"/>
          <w:i w:val="false"/>
          <w:color w:val="000000"/>
          <w:sz w:val="28"/>
        </w:rPr>
        <w:t>
      2. Қарыз сомасынан 10%, алайда әлеуметтік қолдау түрі ретінде 1 500 000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30</w:t>
            </w:r>
            <w:r>
              <w:br/>
            </w:r>
            <w:r>
              <w:rPr>
                <w:rFonts w:ascii="Times New Roman"/>
                <w:b w:val="false"/>
                <w:i w:val="false"/>
                <w:color w:val="000000"/>
                <w:sz w:val="20"/>
              </w:rPr>
              <w:t>желтоқсандағы</w:t>
            </w:r>
            <w:r>
              <w:br/>
            </w:r>
            <w:r>
              <w:rPr>
                <w:rFonts w:ascii="Times New Roman"/>
                <w:b w:val="false"/>
                <w:i w:val="false"/>
                <w:color w:val="000000"/>
                <w:sz w:val="20"/>
              </w:rPr>
              <w:t>№ 172</w:t>
            </w:r>
            <w:r>
              <w:br/>
            </w:r>
            <w:r>
              <w:rPr>
                <w:rFonts w:ascii="Times New Roman"/>
                <w:b w:val="false"/>
                <w:i w:val="false"/>
                <w:color w:val="000000"/>
                <w:sz w:val="20"/>
              </w:rPr>
              <w:t>шешіміне 2-қосымша</w:t>
            </w:r>
          </w:p>
        </w:tc>
      </w:tr>
    </w:tbl>
    <w:bookmarkStart w:name="z14" w:id="7"/>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7"/>
    <w:p>
      <w:pPr>
        <w:spacing w:after="0"/>
        <w:ind w:left="0"/>
        <w:jc w:val="both"/>
      </w:pPr>
      <w:r>
        <w:rPr>
          <w:rFonts w:ascii="Times New Roman"/>
          <w:b w:val="false"/>
          <w:i w:val="false"/>
          <w:color w:val="ff0000"/>
          <w:sz w:val="28"/>
        </w:rPr>
        <w:t xml:space="preserve">
      Ескерту. 2-қосымша жаңа редакцияда - Ұлытау облысы Ұлытау аудандық мәслихатының 29.04.2025 </w:t>
      </w:r>
      <w:r>
        <w:rPr>
          <w:rFonts w:ascii="Times New Roman"/>
          <w:b w:val="false"/>
          <w:i w:val="false"/>
          <w:color w:val="ff0000"/>
          <w:sz w:val="28"/>
        </w:rPr>
        <w:t>№ 199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