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4191" w14:textId="3be4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облыс орталығында, облыстық және аудандық маңызы бар қалаларында, кенттері мен ауылдық елді мекендерінде жеке меншікке берілетін жер учаскелері үшін төлемақының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12 сәуірдегі № 77 бірлескен қаулысы және Абай облысы мәслихатының 2024 жылғы 12 сәуірдегі № 14/104-VIII шешімі. Абай облысының Әділет департаментінде 2024 жылғы 18 сәуірде № 258-18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 10-бабының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> 1-тармағының 8) тармақшасына, "Жер учаскелері үшін төлемақының базалық ставкаларын белгілеу туралы" Қазақстан Республикасы Үкіметінің 2003 жылғы 2 қыркүйектегі № 890 қаулысының </w:t>
      </w:r>
      <w:r>
        <w:rPr>
          <w:rFonts w:ascii="Times New Roman"/>
          <w:b w:val="false"/>
          <w:i w:val="false"/>
          <w:color w:val="000000"/>
          <w:sz w:val="28"/>
        </w:rPr>
        <w:t>3-1-тармағына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Абай облысының әкімдігі ҚАУЛЫ ЕТЕДІ және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облыс орталығында, облыстық және аудандық маңызы бар қалаларында, кенттері мен ауылдық елді мекендерінде жеке меншікке берілетін жер учаскелері үшін төлемақының базалық ставкалары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Абай облысы әкімдігінің қаулысы және Абай облысы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облыс орталығында, облыстық және аудандық маңызы бар қалаларында, кенттері мен ауылдық елді мекендерде жеке меншікке берілетін жер учаскелері үшін төлемақының базалық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 үшін төлемнің базалық ставкасы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Курчатов қалалары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Құңдызды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Жүреқадыр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Егізқызыл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кенттік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Ақкілет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 разъезді (Енрекей ауылы)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 (Буденный)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Биесыймас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Малтүгел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Hарын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Шыңқожа (Нарын)ауылы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 шаруашылығы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 орман шаруашылығы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Маловладимиров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Поднебесное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Дюсакен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Поллог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Жарбұлақ (2 Пятилетка)ауылы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Hоводворовка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санаторийі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подхозы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Сарноғай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(Арбузное)ауылы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Hовошүлбі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Hовошүлбі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(Пролетарка)ауылы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Изатулла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кенттік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Қапай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 төбе кенттік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 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Шуақ (Солнечное)ауылы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кенттік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Толеуғали Әбдібеков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Кеңтарлау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Суық-бұлақ кенттік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Суық-бұлақ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Делбегетей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Терістаңбалы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Аухадиев атындағы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қыз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Малшы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Малшы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Hұра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Үлгенбөкен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Жогарғы 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(Hовоандреевка)ауылы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Hекрасовка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Hауалы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Салқынбел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Қоңыршәулі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Жантікей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Шүльбі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Көкентау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Мұкыр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Hовобаженово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Климентьевка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Шоптығақ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Подгорное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Барлықарасан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