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b2f2" w14:textId="e6bb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10 қазандағы № 8-10-52 шешiмiне өзгерістер енгiзу туралы</w:t>
      </w:r>
    </w:p>
    <w:p>
      <w:pPr>
        <w:spacing w:after="0"/>
        <w:ind w:left="0"/>
        <w:jc w:val="both"/>
      </w:pPr>
      <w:r>
        <w:rPr>
          <w:rFonts w:ascii="Times New Roman"/>
          <w:b w:val="false"/>
          <w:i w:val="false"/>
          <w:color w:val="000000"/>
          <w:sz w:val="28"/>
        </w:rPr>
        <w:t>Алматы облысы Ұйғыр аудандық мәслихатының 2024 жылғы 24 маусымдағы № 8-24-132 шешімі. Алматы облысы Әділет департаментінде 2024 жылғы 27 маусымда № 6138-05 болып тіркелді</w:t>
      </w:r>
    </w:p>
    <w:p>
      <w:pPr>
        <w:spacing w:after="0"/>
        <w:ind w:left="0"/>
        <w:jc w:val="both"/>
      </w:pPr>
      <w:bookmarkStart w:name="z7" w:id="0"/>
      <w:r>
        <w:rPr>
          <w:rFonts w:ascii="Times New Roman"/>
          <w:b w:val="false"/>
          <w:i w:val="false"/>
          <w:color w:val="000000"/>
          <w:sz w:val="28"/>
        </w:rPr>
        <w:t>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10 қазандағы </w:t>
      </w:r>
      <w:r>
        <w:rPr>
          <w:rFonts w:ascii="Times New Roman"/>
          <w:b w:val="false"/>
          <w:i w:val="false"/>
          <w:color w:val="000000"/>
          <w:sz w:val="28"/>
        </w:rPr>
        <w:t>№ 8-10-52</w:t>
      </w:r>
      <w:r>
        <w:rPr>
          <w:rFonts w:ascii="Times New Roman"/>
          <w:b w:val="false"/>
          <w:i w:val="false"/>
          <w:color w:val="000000"/>
          <w:sz w:val="28"/>
        </w:rPr>
        <w:t xml:space="preserve">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w:t>
      </w:r>
    </w:p>
    <w:bookmarkEnd w:id="7"/>
    <w:bookmarkStart w:name="z18"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200 (екі жүз) айлық есептік көрсеткіш;</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3) тармақшасы келесі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"3) әлеуметтік маңызы бар аурулардың салдарынан тыныс–тіршілігінің шектелуі деп танылған тұлғалар (отбасы):</w:t>
      </w:r>
    </w:p>
    <w:bookmarkEnd w:id="10"/>
    <w:bookmarkStart w:name="z22" w:id="11"/>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11"/>
    <w:bookmarkStart w:name="z23" w:id="1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12"/>
    <w:bookmarkStart w:name="z24"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Ермухаметова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