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8e7b" w14:textId="1c28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24 жылғы 6 желтоқсандағы № a-12/493 бірлескен қаулысы және Ақмола облысы Бурабай аудандық мәслихатының 2024 жылғы 6 желтоқсандағы № 8С-25/1 шешімі. Ақмола облысының Әділет департаментінде 2024 жылғы 17 желтоқсанда № 886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43-1-бабының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 және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ур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12/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аудан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немесе фермер қожалығы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