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e56e" w14:textId="fdee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Жақсы аудандық мәслихатының 2024 жылғы 31 шілдедегі № 8С-28-2 шешімі. Ақмола облысының Әділет департаментінде 2024 жылғы 7 тамызда № 8810-03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Жақсы аудандық мәслихатының "Жақсы ауданында тұрғын үй көмегін көрсету мөлшері мен тәртібін айқындау туралы" 2021 жылғы 10 қыркүйектегі № 7ВС-11-1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24537 болып тіркелген);</w:t>
      </w:r>
    </w:p>
    <w:p>
      <w:pPr>
        <w:spacing w:after="0"/>
        <w:ind w:left="0"/>
        <w:jc w:val="both"/>
      </w:pPr>
      <w:r>
        <w:rPr>
          <w:rFonts w:ascii="Times New Roman"/>
          <w:b w:val="false"/>
          <w:i w:val="false"/>
          <w:color w:val="000000"/>
          <w:sz w:val="28"/>
        </w:rPr>
        <w:t xml:space="preserve">
      "Жақсы аудандық мәслихатының 2021 жылғы 10 қыркүйектегі № 7ВС-11-1 "Жақсы ауданында тұрғын үй көмегін көрсету мөлшері мен тәртібін айқындау туралы" шешіміне өзгерістер енгізу туралы" Жақсы аудандық мәслихатының 2023 жылғы 29 тамыздағы № 8С-8-1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8617-03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2024 жылғы 31 шілдедегі</w:t>
            </w:r>
            <w:r>
              <w:br/>
            </w:r>
            <w:r>
              <w:rPr>
                <w:rFonts w:ascii="Times New Roman"/>
                <w:b w:val="false"/>
                <w:i w:val="false"/>
                <w:color w:val="000000"/>
                <w:sz w:val="20"/>
              </w:rPr>
              <w:t>№ 8C-28-2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Жақсы ауданында тұрғын үй көмегін көрсету мөлшері және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Жақсы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"Жақсы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80 (сексен) киловатт мөлшерінде белгіленді.</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