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dc45" w14:textId="cfed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2023 жылғы 22 желтоқсандағы № 8С-19/3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2024 жылғы 23 шілдедегі № 8С-30/2 шешімі. Ақмола облысының Әділет департаментінде 2024 жылғы 24 шілдеде № 8799-03 болып тіркелді</w:t>
      </w:r>
    </w:p>
    <w:p>
      <w:pPr>
        <w:spacing w:after="0"/>
        <w:ind w:left="0"/>
        <w:jc w:val="both"/>
      </w:pPr>
      <w:bookmarkStart w:name="z1" w:id="0"/>
      <w:r>
        <w:rPr>
          <w:rFonts w:ascii="Times New Roman"/>
          <w:b w:val="false"/>
          <w:i w:val="false"/>
          <w:color w:val="000000"/>
          <w:sz w:val="28"/>
        </w:rPr>
        <w:t>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22 желтоқсандағы № 8С-19/3 (Нормативтік құқықтық актілерді мемлекеттік тіркеу тізілімінде № 8677-03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3-тармақтың 1) тармақшасы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w:t>
            </w:r>
          </w:p>
          <w:p>
            <w:pPr>
              <w:spacing w:after="20"/>
              <w:ind w:left="20"/>
              <w:jc w:val="both"/>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Ч.Канафин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