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d582" w14:textId="25dd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ішкі тәртіптемесінің үлгілік қағидаларын бекіту туралы" Астана қаласы әкімдігінің 2015 жылғы 24 сәуірдегі № 107-596 қаулысының күші жойылды деп тану туралы</w:t>
      </w:r>
    </w:p>
    <w:p>
      <w:pPr>
        <w:spacing w:after="0"/>
        <w:ind w:left="0"/>
        <w:jc w:val="both"/>
      </w:pPr>
      <w:r>
        <w:rPr>
          <w:rFonts w:ascii="Times New Roman"/>
          <w:b w:val="false"/>
          <w:i w:val="false"/>
          <w:color w:val="000000"/>
          <w:sz w:val="28"/>
        </w:rPr>
        <w:t>Астана қаласы әкімдігінің 2024 жылғы 23 мамырдағы № 107-1762 қаулысы. Астана қаласының Әділет департаментінде 2024 жылғы 27 мамырда № 1383-01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кейбір заңнамалық актілеріне білім беру, тәлімгерлік және балалардың қауіпсіздігі мәселелері бойынша өзгерістер мен толықтырулар енгізу туралы" 2024 жылғы 23 ақпандағы Қазақстан Республикасының Заңын іске асыру жөніндегі шаралар туралы" Қазақстан Республикасы Премьер-Министрінің 2024 жылғы 19 наурыздағы № 33-ө </w:t>
      </w:r>
      <w:r>
        <w:rPr>
          <w:rFonts w:ascii="Times New Roman"/>
          <w:b w:val="false"/>
          <w:i w:val="false"/>
          <w:color w:val="000000"/>
          <w:sz w:val="28"/>
        </w:rPr>
        <w:t>өкіміне</w:t>
      </w:r>
      <w:r>
        <w:rPr>
          <w:rFonts w:ascii="Times New Roman"/>
          <w:b w:val="false"/>
          <w:i w:val="false"/>
          <w:color w:val="000000"/>
          <w:sz w:val="28"/>
        </w:rPr>
        <w:t xml:space="preserve"> сәйкес Астана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ұйымдарының ішкі тәртіптемесінің үлгілік қағидаларын бекіту туралы" Астана қаласы әкімдігінің 2015 жылғы 24 сәуірдегі № 107-596 (Нормативтік құқықтық актілерді мемлекеттік тіркеу тізілімінде № 909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3" w:id="0"/>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тәртіпте:</w:t>
      </w:r>
    </w:p>
    <w:bookmarkEnd w:id="0"/>
    <w:bookmarkStart w:name="z4" w:id="1"/>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bookmarkEnd w:id="1"/>
    <w:bookmarkStart w:name="z5" w:id="2"/>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