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47f1" w14:textId="9834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 Қазақстан Республикасы Қаржы министрінің 2015 жылғы 16 наурыздағы № 176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30 желтоқсандағы № 895 бұйрығы. Қазақстан Республикасының Әділет министрлігінде 2024 жылғы 31 желтоқсанда № 35591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Мәмілелер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Мәмілелер мониторингін Қазақстан Республикасының мемлекеттік кірістер органдары халықаралық іскерлік операциялар бойынша мәмілелерге қатысушылар қолданатын бағаларға бақылау жүргізу жолымен жүзеге асырады.</w:t>
      </w:r>
    </w:p>
    <w:bookmarkEnd w:id="3"/>
    <w:bookmarkStart w:name="z9" w:id="4"/>
    <w:p>
      <w:pPr>
        <w:spacing w:after="0"/>
        <w:ind w:left="0"/>
        <w:jc w:val="both"/>
      </w:pPr>
      <w:r>
        <w:rPr>
          <w:rFonts w:ascii="Times New Roman"/>
          <w:b w:val="false"/>
          <w:i w:val="false"/>
          <w:color w:val="000000"/>
          <w:sz w:val="28"/>
        </w:rPr>
        <w:t xml:space="preserve">
      3. "Мәмілелер мониторингі бойынша есептілік ұсынылатын халықаралық іскерлік операциялардың тізбесін бекіту туралы" Қазақстан Республикасы Қаржы министрінің 2015 жылғы 19 наурыздағы № 194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10680 болып тіркелген) (бұдан әрі – Тізбе) мәмілелер мониторингі бойынша есептілік ұсынылатын халықаралық іскерлік операциялар тізбесіне сәйкес халықаралық іскерлік операцияларды жүзеге асыратын мәмілелерге қатысушылар осындай операциялар бойынша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қызметтер) экспорты"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 (жұмыстар, қызметтер) импорты" мәмілелер мониторингі бойынша есептілікті (бұдан әрі-мәмілелер мониторингі бойынша есептілік нысандары) Қазақстан Республикасы Қаржы министрлігінің Мемлекеттік кірістер комитетіне (бұдан әрі - Мемлекеттік кірістер комитеті) есепті жылдан кейінгі жылдың 15 мамырынан кешіктірмей ұсынады. Күнтізбелік бір жыл есепті кезең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Мемлекеттік кірістер органдары халықаралық іскерлік операциялардың мәмілелер мониторингін Заңның 6-бабына сәйкес жүзеге асырады.".</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Стратегиялық жоспарлау және</w:t>
      </w:r>
    </w:p>
    <w:bookmarkEnd w:id="12"/>
    <w:bookmarkStart w:name="z21" w:id="13"/>
    <w:p>
      <w:pPr>
        <w:spacing w:after="0"/>
        <w:ind w:left="0"/>
        <w:jc w:val="both"/>
      </w:pPr>
      <w:r>
        <w:rPr>
          <w:rFonts w:ascii="Times New Roman"/>
          <w:b w:val="false"/>
          <w:i w:val="false"/>
          <w:color w:val="000000"/>
          <w:sz w:val="28"/>
        </w:rPr>
        <w:t>
      реформалар агенттігінің</w:t>
      </w:r>
    </w:p>
    <w:bookmarkEnd w:id="13"/>
    <w:bookmarkStart w:name="z22" w:id="14"/>
    <w:p>
      <w:pPr>
        <w:spacing w:after="0"/>
        <w:ind w:left="0"/>
        <w:jc w:val="both"/>
      </w:pPr>
      <w:r>
        <w:rPr>
          <w:rFonts w:ascii="Times New Roman"/>
          <w:b w:val="false"/>
          <w:i w:val="false"/>
          <w:color w:val="000000"/>
          <w:sz w:val="28"/>
        </w:rPr>
        <w:t>
      Ұлттық статистика бюросы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