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c880" w14:textId="3cdc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25 желтоқсандағы № 420-НҚ бұйрығы. Қазақстан Республикасының Әділет министрлігінде 2024 жылғы 26 желтоқсанда № 35538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аталған бұйрықпен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дәлдік, медициналық немесе хирургиялық құралдар мен аппараттар; олардың бөлшектері мен керек-жарақтары, төменде қолданылатын ережелер көрсетілген, келесі тауарлардың тауарлары қоспағанда: 9019 20 000 0, 9020 00 000 0,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фотографиялық, кинематографиялық, өлшеу, бақылау, дәлдік, медициналық немесе хирургиялық құралдар мен аппараттар; олардың бөлшектері мен керек-жарақтары, </w:t>
            </w:r>
          </w:p>
          <w:p>
            <w:pPr>
              <w:spacing w:after="20"/>
              <w:ind w:left="20"/>
              <w:jc w:val="both"/>
            </w:pPr>
            <w:r>
              <w:rPr>
                <w:rFonts w:ascii="Times New Roman"/>
                <w:b w:val="false"/>
                <w:i w:val="false"/>
                <w:color w:val="000000"/>
                <w:sz w:val="20"/>
              </w:rPr>
              <w:t xml:space="preserve">
олар үшін қолданылатын қағидалар бұдан әрі жазылатын </w:t>
            </w:r>
          </w:p>
          <w:p>
            <w:pPr>
              <w:spacing w:after="20"/>
              <w:ind w:left="20"/>
              <w:jc w:val="both"/>
            </w:pPr>
            <w:r>
              <w:rPr>
                <w:rFonts w:ascii="Times New Roman"/>
                <w:b w:val="false"/>
                <w:i w:val="false"/>
                <w:color w:val="000000"/>
                <w:sz w:val="20"/>
              </w:rPr>
              <w:t>
9020 000 0 0-ден, 9022-ден 9018 12 000 0, 9019 20 000 0 позиция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50 %-ынан аспауға тиiс</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мынадай мазмұндағы жолмен толықтырылсын: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кезде барлық пайдаланылатын материалдардың құны түпкілікті өнім бағасының 50 %-ынан аспайтын дайындау немесе келесі шарттарды орындау:</w:t>
            </w:r>
          </w:p>
          <w:p>
            <w:pPr>
              <w:spacing w:after="20"/>
              <w:ind w:left="20"/>
              <w:jc w:val="both"/>
            </w:pPr>
            <w:r>
              <w:rPr>
                <w:rFonts w:ascii="Times New Roman"/>
                <w:b w:val="false"/>
                <w:i w:val="false"/>
                <w:color w:val="000000"/>
                <w:sz w:val="20"/>
              </w:rPr>
              <w:t>
1) өндірушінің қолданылу мерзімі 5 жылдан кем емес техникалық және конструкторлық құжаттаманың болуы;</w:t>
            </w:r>
          </w:p>
          <w:p>
            <w:pPr>
              <w:spacing w:after="20"/>
              <w:ind w:left="20"/>
              <w:jc w:val="both"/>
            </w:pPr>
            <w:r>
              <w:rPr>
                <w:rFonts w:ascii="Times New Roman"/>
                <w:b w:val="false"/>
                <w:i w:val="false"/>
                <w:color w:val="000000"/>
                <w:sz w:val="20"/>
              </w:rPr>
              <w:t>
2) Қазақстан Республикасының аумағында меншікті немесе келісімшарттық өндірістің болуы;</w:t>
            </w:r>
          </w:p>
          <w:p>
            <w:pPr>
              <w:spacing w:after="20"/>
              <w:ind w:left="20"/>
              <w:jc w:val="both"/>
            </w:pPr>
            <w:r>
              <w:rPr>
                <w:rFonts w:ascii="Times New Roman"/>
                <w:b w:val="false"/>
                <w:i w:val="false"/>
                <w:color w:val="000000"/>
                <w:sz w:val="20"/>
              </w:rPr>
              <w:t>
3) ГОСТ ISO 13485-2017 "Медициналық бұйымдар. Сапа менеджменті жүйелері. Реттеу мақсаттарына арналған талаптар" (ISO 13485) талаптарына сәйкес сапаны басқару жүйесінің болуы;</w:t>
            </w:r>
          </w:p>
          <w:p>
            <w:pPr>
              <w:spacing w:after="20"/>
              <w:ind w:left="20"/>
              <w:jc w:val="both"/>
            </w:pPr>
            <w:r>
              <w:rPr>
                <w:rFonts w:ascii="Times New Roman"/>
                <w:b w:val="false"/>
                <w:i w:val="false"/>
                <w:color w:val="000000"/>
                <w:sz w:val="20"/>
              </w:rPr>
              <w:t>
4) Қазақстан Республикасының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5) мынадай технологиялық операцияларды орындау:</w:t>
            </w:r>
          </w:p>
          <w:p>
            <w:pPr>
              <w:spacing w:after="20"/>
              <w:ind w:left="20"/>
              <w:jc w:val="both"/>
            </w:pPr>
            <w:r>
              <w:rPr>
                <w:rFonts w:ascii="Times New Roman"/>
                <w:b w:val="false"/>
                <w:i w:val="false"/>
                <w:color w:val="000000"/>
                <w:sz w:val="20"/>
              </w:rPr>
              <w:t>
– егер ол жабдықтың ажырамас бөлігі болса, бағдарламалық қамтылымды орнату;</w:t>
            </w:r>
          </w:p>
          <w:p>
            <w:pPr>
              <w:spacing w:after="20"/>
              <w:ind w:left="20"/>
              <w:jc w:val="both"/>
            </w:pPr>
            <w:r>
              <w:rPr>
                <w:rFonts w:ascii="Times New Roman"/>
                <w:b w:val="false"/>
                <w:i w:val="false"/>
                <w:color w:val="000000"/>
                <w:sz w:val="20"/>
              </w:rPr>
              <w:t>
– жабдықты баптау және функционалдық тестілеу;</w:t>
            </w:r>
          </w:p>
          <w:p>
            <w:pPr>
              <w:spacing w:after="20"/>
              <w:ind w:left="20"/>
              <w:jc w:val="both"/>
            </w:pPr>
            <w:r>
              <w:rPr>
                <w:rFonts w:ascii="Times New Roman"/>
                <w:b w:val="false"/>
                <w:i w:val="false"/>
                <w:color w:val="000000"/>
                <w:sz w:val="20"/>
              </w:rPr>
              <w:t>
– пластик панельдерге таңбалау түсіру;</w:t>
            </w:r>
          </w:p>
          <w:p>
            <w:pPr>
              <w:spacing w:after="20"/>
              <w:ind w:left="20"/>
              <w:jc w:val="both"/>
            </w:pPr>
            <w:r>
              <w:rPr>
                <w:rFonts w:ascii="Times New Roman"/>
                <w:b w:val="false"/>
                <w:i w:val="false"/>
                <w:color w:val="000000"/>
                <w:sz w:val="20"/>
              </w:rPr>
              <w:t>
– өлшеу құралының көмегімен қан ағымының жылдамдығын өлшеу дәлдігін қоса алғанда, визуалдау сапасын тексеру;</w:t>
            </w:r>
          </w:p>
          <w:p>
            <w:pPr>
              <w:spacing w:after="20"/>
              <w:ind w:left="20"/>
              <w:jc w:val="both"/>
            </w:pPr>
            <w:r>
              <w:rPr>
                <w:rFonts w:ascii="Times New Roman"/>
                <w:b w:val="false"/>
                <w:i w:val="false"/>
                <w:color w:val="000000"/>
                <w:sz w:val="20"/>
              </w:rPr>
              <w:t>
– басқару тақтасының биіктігін реттеу тетігін құрастыру және реттеу;</w:t>
            </w:r>
          </w:p>
          <w:p>
            <w:pPr>
              <w:spacing w:after="20"/>
              <w:ind w:left="20"/>
              <w:jc w:val="both"/>
            </w:pPr>
            <w:r>
              <w:rPr>
                <w:rFonts w:ascii="Times New Roman"/>
                <w:b w:val="false"/>
                <w:i w:val="false"/>
                <w:color w:val="000000"/>
                <w:sz w:val="20"/>
              </w:rPr>
              <w:t>
– басқару тақтасын құрастыру және орнату;</w:t>
            </w:r>
          </w:p>
          <w:p>
            <w:pPr>
              <w:spacing w:after="20"/>
              <w:ind w:left="20"/>
              <w:jc w:val="both"/>
            </w:pPr>
            <w:r>
              <w:rPr>
                <w:rFonts w:ascii="Times New Roman"/>
                <w:b w:val="false"/>
                <w:i w:val="false"/>
                <w:color w:val="000000"/>
                <w:sz w:val="20"/>
              </w:rPr>
              <w:t>
– бейне принтерді, сұйық кристалды мониторды, электронды модульдерді, консоль корпусының негізгі бөлігінің корпустық панельдерін орнату және баптау;</w:t>
            </w:r>
          </w:p>
          <w:p>
            <w:pPr>
              <w:spacing w:after="20"/>
              <w:ind w:left="20"/>
              <w:jc w:val="both"/>
            </w:pPr>
            <w:r>
              <w:rPr>
                <w:rFonts w:ascii="Times New Roman"/>
                <w:b w:val="false"/>
                <w:i w:val="false"/>
                <w:color w:val="000000"/>
                <w:sz w:val="20"/>
              </w:rPr>
              <w:t>
6) электр қауіпсіздігін өлшеу құралдарымен тексеру.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үстелдердi, креслоларды және ұқсас бұйымдарды қоса алғанда, рентгендiк, альфа-, бета- немесе гамма- сәулеленудi пайдалануға негiзделген, медициналық, хирургиялық, стоматологиялық немесе ветеринариялық пайдалану үшiн арналған немесе арналмаған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70 %-ынан аспауға тиiс</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үстелдердi, креслоларды және ұқсас бұйымдарды қоса алғанда, рентгендiк, альфа-, бета- немесе гамма- сәулеленудi пайдалануға негiзделген, медициналық, хирургиялық, стоматологиялық немесе ветеринариялық пайдалану үшiн арналған немесе арналмаған аппаратура, олар үшін қолданылатын қағидалар бұдан әрі жазылатын </w:t>
            </w:r>
          </w:p>
          <w:p>
            <w:pPr>
              <w:spacing w:after="20"/>
              <w:ind w:left="20"/>
              <w:jc w:val="both"/>
            </w:pPr>
            <w:r>
              <w:rPr>
                <w:rFonts w:ascii="Times New Roman"/>
                <w:b w:val="false"/>
                <w:i w:val="false"/>
                <w:color w:val="000000"/>
                <w:sz w:val="20"/>
              </w:rPr>
              <w:t>
9022 12 000 0 позиция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70 %-ынан аспауға тиiс</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мынадай мазмұндағы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кезде барлық пайдаланылатын материалдардың құны түпкілікті өнім бағасының 70%-ынан аспайтын дайындау немесе мынадай шарттарды орындау:</w:t>
            </w:r>
          </w:p>
          <w:p>
            <w:pPr>
              <w:spacing w:after="20"/>
              <w:ind w:left="20"/>
              <w:jc w:val="both"/>
            </w:pPr>
            <w:r>
              <w:rPr>
                <w:rFonts w:ascii="Times New Roman"/>
                <w:b w:val="false"/>
                <w:i w:val="false"/>
                <w:color w:val="000000"/>
                <w:sz w:val="20"/>
              </w:rPr>
              <w:t>
1) өндірушінің қолданылу мерзімі 5 жылдан кем емес техникалық және конструкторлық құжаттаманың болуы;</w:t>
            </w:r>
          </w:p>
          <w:p>
            <w:pPr>
              <w:spacing w:after="20"/>
              <w:ind w:left="20"/>
              <w:jc w:val="both"/>
            </w:pPr>
            <w:r>
              <w:rPr>
                <w:rFonts w:ascii="Times New Roman"/>
                <w:b w:val="false"/>
                <w:i w:val="false"/>
                <w:color w:val="000000"/>
                <w:sz w:val="20"/>
              </w:rPr>
              <w:t>
2) Қазақстан Республикасының аумағында жеке және келісімшарттық өндірістің болуы;</w:t>
            </w:r>
          </w:p>
          <w:p>
            <w:pPr>
              <w:spacing w:after="20"/>
              <w:ind w:left="20"/>
              <w:jc w:val="both"/>
            </w:pPr>
            <w:r>
              <w:rPr>
                <w:rFonts w:ascii="Times New Roman"/>
                <w:b w:val="false"/>
                <w:i w:val="false"/>
                <w:color w:val="000000"/>
                <w:sz w:val="20"/>
              </w:rPr>
              <w:t>
3) ГОСТ ISO 13485-2017 "Медициналық бұйымдар. Сапа менеджменті жүйелері. Реттеу мақсаттарына арналған талаптар" (ISO 13485) талаптарына сәйкес сапаны басқару жүйесінің болуы;</w:t>
            </w:r>
          </w:p>
          <w:p>
            <w:pPr>
              <w:spacing w:after="20"/>
              <w:ind w:left="20"/>
              <w:jc w:val="both"/>
            </w:pPr>
            <w:r>
              <w:rPr>
                <w:rFonts w:ascii="Times New Roman"/>
                <w:b w:val="false"/>
                <w:i w:val="false"/>
                <w:color w:val="000000"/>
                <w:sz w:val="20"/>
              </w:rPr>
              <w:t>
4) Қазақстан Республикасының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5) мынадай технологиялық операцияларды орындау:</w:t>
            </w:r>
          </w:p>
          <w:p>
            <w:pPr>
              <w:spacing w:after="20"/>
              <w:ind w:left="20"/>
              <w:jc w:val="both"/>
            </w:pPr>
            <w:r>
              <w:rPr>
                <w:rFonts w:ascii="Times New Roman"/>
                <w:b w:val="false"/>
                <w:i w:val="false"/>
                <w:color w:val="000000"/>
                <w:sz w:val="20"/>
              </w:rPr>
              <w:t>
– электрондық жабдықты құрастыру және монтаждау;</w:t>
            </w:r>
          </w:p>
          <w:p>
            <w:pPr>
              <w:spacing w:after="20"/>
              <w:ind w:left="20"/>
              <w:jc w:val="both"/>
            </w:pPr>
            <w:r>
              <w:rPr>
                <w:rFonts w:ascii="Times New Roman"/>
                <w:b w:val="false"/>
                <w:i w:val="false"/>
                <w:color w:val="000000"/>
                <w:sz w:val="20"/>
              </w:rPr>
              <w:t>
– егер ол жабдықтың ажырамас бөлігі болса, бағдарламалық қамтылымды орнату;</w:t>
            </w:r>
          </w:p>
          <w:p>
            <w:pPr>
              <w:spacing w:after="20"/>
              <w:ind w:left="20"/>
              <w:jc w:val="both"/>
            </w:pPr>
            <w:r>
              <w:rPr>
                <w:rFonts w:ascii="Times New Roman"/>
                <w:b w:val="false"/>
                <w:i w:val="false"/>
                <w:color w:val="000000"/>
                <w:sz w:val="20"/>
              </w:rPr>
              <w:t>
– жабдықты баптау және функционалдық тестілеу;</w:t>
            </w:r>
          </w:p>
          <w:p>
            <w:pPr>
              <w:spacing w:after="20"/>
              <w:ind w:left="20"/>
              <w:jc w:val="both"/>
            </w:pPr>
            <w:r>
              <w:rPr>
                <w:rFonts w:ascii="Times New Roman"/>
                <w:b w:val="false"/>
                <w:i w:val="false"/>
                <w:color w:val="000000"/>
                <w:sz w:val="20"/>
              </w:rPr>
              <w:t>
– дайын өнімді құрастыру және монтаждау;</w:t>
            </w:r>
          </w:p>
          <w:p>
            <w:pPr>
              <w:spacing w:after="20"/>
              <w:ind w:left="20"/>
              <w:jc w:val="both"/>
            </w:pPr>
            <w:r>
              <w:rPr>
                <w:rFonts w:ascii="Times New Roman"/>
                <w:b w:val="false"/>
                <w:i w:val="false"/>
                <w:color w:val="000000"/>
                <w:sz w:val="20"/>
              </w:rPr>
              <w:t>
– қауіпсіздікті тексеруді, детектор жүйесін тексеруді, кескін параметрлерін тексеруді қоса алғанда, дайын өнімнің техникалық шарттардың сәйкестігіне техникалық бақылау жүргізу;</w:t>
            </w:r>
          </w:p>
          <w:p>
            <w:pPr>
              <w:spacing w:after="20"/>
              <w:ind w:left="20"/>
              <w:jc w:val="both"/>
            </w:pPr>
            <w:r>
              <w:rPr>
                <w:rFonts w:ascii="Times New Roman"/>
                <w:b w:val="false"/>
                <w:i w:val="false"/>
                <w:color w:val="000000"/>
                <w:sz w:val="20"/>
              </w:rPr>
              <w:t>
– консервация және орау;</w:t>
            </w:r>
          </w:p>
          <w:p>
            <w:pPr>
              <w:spacing w:after="20"/>
              <w:ind w:left="20"/>
              <w:jc w:val="both"/>
            </w:pPr>
            <w:r>
              <w:rPr>
                <w:rFonts w:ascii="Times New Roman"/>
                <w:b w:val="false"/>
                <w:i w:val="false"/>
                <w:color w:val="000000"/>
                <w:sz w:val="20"/>
              </w:rPr>
              <w:t>
– гентри, үстелді, оператор консолін құрастыру;</w:t>
            </w:r>
          </w:p>
          <w:p>
            <w:pPr>
              <w:spacing w:after="20"/>
              <w:ind w:left="20"/>
              <w:jc w:val="both"/>
            </w:pPr>
            <w:r>
              <w:rPr>
                <w:rFonts w:ascii="Times New Roman"/>
                <w:b w:val="false"/>
                <w:i w:val="false"/>
                <w:color w:val="000000"/>
                <w:sz w:val="20"/>
              </w:rPr>
              <w:t>
– компьютерлік томографтың жүйелік бағдарламалық қамтылымын орнату;</w:t>
            </w:r>
          </w:p>
          <w:p>
            <w:pPr>
              <w:spacing w:after="20"/>
              <w:ind w:left="20"/>
              <w:jc w:val="both"/>
            </w:pPr>
            <w:r>
              <w:rPr>
                <w:rFonts w:ascii="Times New Roman"/>
                <w:b w:val="false"/>
                <w:i w:val="false"/>
                <w:color w:val="000000"/>
                <w:sz w:val="20"/>
              </w:rPr>
              <w:t>
– детектор блогын орнату;</w:t>
            </w:r>
          </w:p>
          <w:p>
            <w:pPr>
              <w:spacing w:after="20"/>
              <w:ind w:left="20"/>
              <w:jc w:val="both"/>
            </w:pPr>
            <w:r>
              <w:rPr>
                <w:rFonts w:ascii="Times New Roman"/>
                <w:b w:val="false"/>
                <w:i w:val="false"/>
                <w:color w:val="000000"/>
                <w:sz w:val="20"/>
              </w:rPr>
              <w:t>
– айналу жазықтығы гентри сканерлеу орталығын туралау;</w:t>
            </w:r>
          </w:p>
          <w:p>
            <w:pPr>
              <w:spacing w:after="20"/>
              <w:ind w:left="20"/>
              <w:jc w:val="both"/>
            </w:pPr>
            <w:r>
              <w:rPr>
                <w:rFonts w:ascii="Times New Roman"/>
                <w:b w:val="false"/>
                <w:i w:val="false"/>
                <w:color w:val="000000"/>
                <w:sz w:val="20"/>
              </w:rPr>
              <w:t>
– кескін алу жүйесін калибрлеу;</w:t>
            </w:r>
          </w:p>
          <w:p>
            <w:pPr>
              <w:spacing w:after="20"/>
              <w:ind w:left="20"/>
              <w:jc w:val="both"/>
            </w:pPr>
            <w:r>
              <w:rPr>
                <w:rFonts w:ascii="Times New Roman"/>
                <w:b w:val="false"/>
                <w:i w:val="false"/>
                <w:color w:val="000000"/>
                <w:sz w:val="20"/>
              </w:rPr>
              <w:t>
– электр қауіпсіздігін тексеру;</w:t>
            </w:r>
          </w:p>
          <w:p>
            <w:pPr>
              <w:spacing w:after="20"/>
              <w:ind w:left="20"/>
              <w:jc w:val="both"/>
            </w:pPr>
            <w:r>
              <w:rPr>
                <w:rFonts w:ascii="Times New Roman"/>
                <w:b w:val="false"/>
                <w:i w:val="false"/>
                <w:color w:val="000000"/>
                <w:sz w:val="20"/>
              </w:rPr>
              <w:t>
– гентридің механикалық сипаттамасын баптау;</w:t>
            </w:r>
          </w:p>
          <w:p>
            <w:pPr>
              <w:spacing w:after="20"/>
              <w:ind w:left="20"/>
              <w:jc w:val="both"/>
            </w:pPr>
            <w:r>
              <w:rPr>
                <w:rFonts w:ascii="Times New Roman"/>
                <w:b w:val="false"/>
                <w:i w:val="false"/>
                <w:color w:val="000000"/>
                <w:sz w:val="20"/>
              </w:rPr>
              <w:t>
– кеңістіктік ажыратымдылықты баптау;</w:t>
            </w:r>
          </w:p>
          <w:p>
            <w:pPr>
              <w:spacing w:after="20"/>
              <w:ind w:left="20"/>
              <w:jc w:val="both"/>
            </w:pPr>
            <w:r>
              <w:rPr>
                <w:rFonts w:ascii="Times New Roman"/>
                <w:b w:val="false"/>
                <w:i w:val="false"/>
                <w:color w:val="000000"/>
                <w:sz w:val="20"/>
              </w:rPr>
              <w:t>
– кескіннің біркелкілігін баптау.</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