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09a56" w14:textId="fe09a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"Есептелген корпоративтік табыс салығының сомасын 100 пайызға азайту қолданылатын зияткерлік меншік объектілерінен және ақпараттандыру саласында қызметтер көрсетуден кірісті айқындау қағидаларын бекіту туралы" Қазақстан Республикасы Премьер-Министрінің орынбасары – Қаржы министрінің 2022 жылғы 15 желтоқсандағы № 1287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2024 жылғы 25 желтоқсандағы № 877 бұйрығы. Қазақстан Республикасының Әділет министрлігінде 2024 жылғы 26 желтоқсанда № 35530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 </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"Есептелген корпоративтік табыс салығының сомасын 100 пайызға азайту қолданылатын зияткерлік меншік объектілерінен және ақпараттандыру саласында қызметтер көрсетуден кірісті айқындау қағидаларын бекіту туралы" Қазақстан Республикасы Премьер-Министрінің орынбасары – Қаржы министрінің 2022 жылғы 15 желтоқсандағы № 1287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31144 болып тіркелген) мынадай өзгерістер енгізілген: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Есептелген корпоративтік табыс салығының сомасын 100 пайызға азайту қолданылатын зияткерлік меншік объектілерінен және ақпараттандыру саласында қызметтер көрсетуден кірісті айқындау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Есептелген корпоративтік табыс салығының сомасын 100 пайызға азайту қолданылатын зияткерлік меншік объектілерінен және ақпараттандыру саласында қызметтер көрсетуден кірісті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"Салық және бюджетке төленетін басқа да міндетті төлемдер туралы" Қазақстан Республикасы Кодексінің (Салық кодексі) (бұдан әрі – Салық кодексі) 293-бабының </w:t>
      </w:r>
      <w:r>
        <w:rPr>
          <w:rFonts w:ascii="Times New Roman"/>
          <w:b w:val="false"/>
          <w:i w:val="false"/>
          <w:color w:val="000000"/>
          <w:sz w:val="28"/>
        </w:rPr>
        <w:t>4-3-тармағына</w:t>
      </w:r>
      <w:r>
        <w:rPr>
          <w:rFonts w:ascii="Times New Roman"/>
          <w:b w:val="false"/>
          <w:i w:val="false"/>
          <w:color w:val="000000"/>
          <w:sz w:val="28"/>
        </w:rPr>
        <w:t xml:space="preserve"> және 709-бабының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есептелген корпоративтік табыс салығының (бұдан әрі – КТС) сомасын 100 пайызға азайту қолданылатын зияткерлік меншік объектілерінен және ақпараттандыру саласында қызметтер көрсететін "Астана Хаб" халықаралық технологиялық паркіне және арнайы экономикалық аймаққа (бұдан әрі – АЭА) қатысушыларының кірістерін анықтау тәртібін белгілейді.";</w:t>
      </w:r>
    </w:p>
    <w:bookmarkEnd w:id="3"/>
    <w:bookmarkStart w:name="z6" w:id="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
    <w:bookmarkStart w:name="z7" w:id="5"/>
    <w:p>
      <w:pPr>
        <w:spacing w:after="0"/>
        <w:ind w:left="0"/>
        <w:jc w:val="both"/>
      </w:pPr>
      <w:r>
        <w:rPr>
          <w:rFonts w:ascii="Times New Roman"/>
          <w:b w:val="false"/>
          <w:i w:val="false"/>
          <w:color w:val="000000"/>
          <w:sz w:val="28"/>
        </w:rPr>
        <w:t xml:space="preserve">
      "2) арнайы экономикалық аймақ аумағындағы қызметтің басым түрлері – "Арнайы экономикалық аймақтар аумағында жүзеге асырылатын қызметтің басым түрлерінің тізбесін және Арнайы экономикалық аймақтар бөлінісінде қызметтің басым түрлерінің тізбесін жүргізу қағидаларын бекіту туралы" Қазақстан Республикасы Өнеркәсіп және құрылыс министрінің 2024 жылғы 22 ақпандағы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34030 болып тіркелген) арнайы экономикалық аймақ бөлігінде қызметтің басым түрлерінің тізбесіне енгізілген қызмет түрлері;".</w:t>
      </w:r>
    </w:p>
    <w:bookmarkEnd w:id="5"/>
    <w:bookmarkStart w:name="z8" w:id="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10" w:id="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8"/>
    <w:bookmarkStart w:name="z11" w:id="9"/>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9"/>
    <w:bookmarkStart w:name="z12" w:id="10"/>
    <w:p>
      <w:pPr>
        <w:spacing w:after="0"/>
        <w:ind w:left="0"/>
        <w:jc w:val="both"/>
      </w:pPr>
      <w:r>
        <w:rPr>
          <w:rFonts w:ascii="Times New Roman"/>
          <w:b w:val="false"/>
          <w:i w:val="false"/>
          <w:color w:val="000000"/>
          <w:sz w:val="28"/>
        </w:rPr>
        <w:t>
      3. Осы бұйрық алғашқы ресми жарияланған күнінен бастап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инновациялық</w:t>
      </w:r>
    </w:p>
    <w:p>
      <w:pPr>
        <w:spacing w:after="0"/>
        <w:ind w:left="0"/>
        <w:jc w:val="both"/>
      </w:pPr>
      <w:r>
        <w:rPr>
          <w:rFonts w:ascii="Times New Roman"/>
          <w:b w:val="false"/>
          <w:i w:val="false"/>
          <w:color w:val="000000"/>
          <w:sz w:val="28"/>
        </w:rPr>
        <w:t>
      және аэроғарыштық</w:t>
      </w:r>
    </w:p>
    <w:p>
      <w:pPr>
        <w:spacing w:after="0"/>
        <w:ind w:left="0"/>
        <w:jc w:val="both"/>
      </w:pPr>
      <w:r>
        <w:rPr>
          <w:rFonts w:ascii="Times New Roman"/>
          <w:b w:val="false"/>
          <w:i w:val="false"/>
          <w:color w:val="000000"/>
          <w:sz w:val="28"/>
        </w:rPr>
        <w:t>
      өнеркәсіп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