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9f9b" w14:textId="4ce9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субъектілерінің қызметін жүзеге асыру қағидаларын бекіту туралы" Қазақстан Республикасы Индустрия және инфрақұрылымдық даму министрінің 2019 жылғы 30 сәуірдегі № 256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26 қарашадағы № 387 бұйрығы. Қазақстан Республикасының Әділет министрлігінде 2024 жылғы 28 қарашада № 35421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субъектілерінің қызметін жүзеге асыру қағидаларын бекіту туралы" Қазақстан Республикасы Индустрия және инфрақұрылымдық даму министрінің 2019 жылғы 30 сәуірдегі № 256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18608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субъектілерінің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Табиғи монополиялар субъектілерінің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"Табиғи монополиялар туралы" Қазақстан Республикасының Заңы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әзірленді және әуежайлар мен аэронавигация қызметтері саласындағы табиғи монополиялар субъектілеріне қолданылады.";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"Салық және бюджетке төленетін басқа да міндетті төлемдер туралы" Қазақстан Республикасы Кодексінің (Салық кодексі) 412-бабының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шот-фактуралардың ақпараттық жүйесі арқылы жазып берілген электрондық шот-фактураларды ресімдеу;";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"202. Осы тарау "Қазақстан Республикасының әуе кеңістігін пайдалану және авиация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табиғи монополиялар субъектілерінің реттеліп көрсетілетін қызметтеріне тұтынушылардың қол жеткізуіне тең жағдайларды қамтамасыз ету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"217. Аэронавигацияның реттеліп көрсетілетін қызметтеріне қол жеткізу мақсатында аэронавигация саласындағы табиғи монополиялар субъектілерімен шарт жасасу үшін тұтынушылар аэронавигация саласындағы табиғи монополиялар субъектілеріне мынадай құжаттардың: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әуе кемесін мемлекеттік тіркеу туралы куәліктің;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кемелерінің барлық түрлері бойынша ұшуға жарамдылық сертификаттарының;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жарғының;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заңды тұлғаны мемлекеттік тіркеу (қайта тіркеу) туралы куәліктің немесе анықтаманың көшірмелерін қоса бере отырып, жазбаша өтініш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қосылған құн салығы бойынша есепке қою туралы куәліктің.".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