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7e31d" w14:textId="0a7e3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"Мүгедектігі бар балаларды үйде оқытуға жұмсалған шығындарды өтеуді тағайындау және төлеу туралы есеп" әкімшілік деректерін жинауға арналған нысанды бекіту туралы" Қазақстан Республикасы Денсаулық сақтау және әлеуметтік даму министрінің 2016 жылғы 19 қаңтардағы № 28 бұйрығына өзгеріс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2024 жылғы 18 қарашадағы № 429 бұйрығы. Қазақстан Республикасының Әділет министрлігінде 2024 жылғы 20 қарашада № 35382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"Мүгедектігі бар балаларды үйде оқытуға жұмсалған шығындарды өтеуді тағайындау және төлеу туралы есеп" әкімшілік деректерін жинауға арналған нысанды бекіту туралы" Қазақстан Республикасы Денсаулық сақтау және әлеуметтік даму министрінің 2016 жылғы 19 қаңтардағы № 28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13109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4" w:id="1"/>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көмек департаменті заңнамада белгіленген тәртіппен:</w:t>
      </w:r>
    </w:p>
    <w:bookmarkEnd w:id="1"/>
    <w:bookmarkStart w:name="z5"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6" w:id="3"/>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Еңбек және халықты әлеуметтік қорғау министрлігінің Заң қызметі департаментіне ұсынуды қамтамасыз етсін.</w:t>
      </w:r>
    </w:p>
    <w:bookmarkStart w:name="z8"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4"/>
    <w:bookmarkStart w:name="z9"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агенттігінің</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2024 жылғы 18 қарашадағы</w:t>
            </w:r>
            <w:r>
              <w:br/>
            </w:r>
            <w:r>
              <w:rPr>
                <w:rFonts w:ascii="Times New Roman"/>
                <w:b w:val="false"/>
                <w:i w:val="false"/>
                <w:color w:val="000000"/>
                <w:sz w:val="20"/>
              </w:rPr>
              <w:t xml:space="preserve">№ 429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19 қаңтардағы</w:t>
            </w:r>
            <w:r>
              <w:br/>
            </w:r>
            <w:r>
              <w:rPr>
                <w:rFonts w:ascii="Times New Roman"/>
                <w:b w:val="false"/>
                <w:i w:val="false"/>
                <w:color w:val="000000"/>
                <w:sz w:val="20"/>
              </w:rPr>
              <w:t>№ 28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12" w:id="6"/>
    <w:p>
      <w:pPr>
        <w:spacing w:after="0"/>
        <w:ind w:left="0"/>
        <w:jc w:val="both"/>
      </w:pPr>
      <w:r>
        <w:rPr>
          <w:rFonts w:ascii="Times New Roman"/>
          <w:b w:val="false"/>
          <w:i w:val="false"/>
          <w:color w:val="000000"/>
          <w:sz w:val="28"/>
        </w:rPr>
        <w:t>
      Ұсынылады: "Еңбек ресурстарын дамыту орталығы" акционерлік қоғамына, Қазақстан Республикасы Еңбек және халықты әлеуметтік қорғау министрлігіне.</w:t>
      </w:r>
    </w:p>
    <w:bookmarkEnd w:id="6"/>
    <w:bookmarkStart w:name="z13" w:id="7"/>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интернет- ресурста орналастырылған: </w:t>
      </w:r>
    </w:p>
    <w:bookmarkEnd w:id="7"/>
    <w:p>
      <w:pPr>
        <w:spacing w:after="0"/>
        <w:ind w:left="0"/>
        <w:jc w:val="both"/>
      </w:pPr>
      <w:r>
        <w:rPr>
          <w:rFonts w:ascii="Times New Roman"/>
          <w:b w:val="false"/>
          <w:i w:val="false"/>
          <w:color w:val="000000"/>
          <w:sz w:val="28"/>
        </w:rPr>
        <w:t>
      https://www.gov.kz/memleket/entities/enbek/documents/details/212699?lang=kk</w:t>
      </w:r>
    </w:p>
    <w:bookmarkStart w:name="z14" w:id="8"/>
    <w:p>
      <w:pPr>
        <w:spacing w:after="0"/>
        <w:ind w:left="0"/>
        <w:jc w:val="both"/>
      </w:pPr>
      <w:r>
        <w:rPr>
          <w:rFonts w:ascii="Times New Roman"/>
          <w:b w:val="false"/>
          <w:i w:val="false"/>
          <w:color w:val="000000"/>
          <w:sz w:val="28"/>
        </w:rPr>
        <w:t>
      Әкімшілік нысанның атауы: Мүгедектігі бар балаларды үйде оқытуға жұмсалған шығындарды өтеуді тағайындау және төлеу туралы есеп.</w:t>
      </w:r>
    </w:p>
    <w:bookmarkEnd w:id="8"/>
    <w:bookmarkStart w:name="z15" w:id="9"/>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2-шығындарды өтеу.</w:t>
      </w:r>
    </w:p>
    <w:bookmarkEnd w:id="9"/>
    <w:p>
      <w:pPr>
        <w:spacing w:after="0"/>
        <w:ind w:left="0"/>
        <w:jc w:val="both"/>
      </w:pPr>
      <w:r>
        <w:rPr>
          <w:rFonts w:ascii="Times New Roman"/>
          <w:b w:val="false"/>
          <w:i w:val="false"/>
          <w:color w:val="000000"/>
          <w:sz w:val="28"/>
        </w:rPr>
        <w:t>
      Кезеңділік: тоқсан сайын.</w:t>
      </w:r>
    </w:p>
    <w:p>
      <w:pPr>
        <w:spacing w:after="0"/>
        <w:ind w:left="0"/>
        <w:jc w:val="both"/>
      </w:pPr>
      <w:r>
        <w:rPr>
          <w:rFonts w:ascii="Times New Roman"/>
          <w:b w:val="false"/>
          <w:i w:val="false"/>
          <w:color w:val="000000"/>
          <w:sz w:val="28"/>
        </w:rPr>
        <w:t>
      Есепті кезең: 20__ жылғы __тоқсан.</w:t>
      </w:r>
    </w:p>
    <w:bookmarkStart w:name="z16" w:id="1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облыстық, Астана, Алматы және Шымкент қалаларының жұмыспен қамтуды үйлестіру және әлеуметтік бағдарламалар басқармалары, "Еңбек ресурстарын дамыту орталығы" акционерлік қоғамы.</w:t>
      </w:r>
    </w:p>
    <w:bookmarkEnd w:id="10"/>
    <w:bookmarkStart w:name="z17" w:id="1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облыстық, Астана, Алматы және Шымкент қалаларының жұмыспен қамтуды үйлестіру және әлеуметтік бағдарламалар басқармалары – есепті кезеңнен кейінгі айдың 10-на дейін "Еңбек ресурстарын дамыту орталығы" акционерлік қоғамына.</w:t>
      </w:r>
    </w:p>
    <w:bookmarkEnd w:id="11"/>
    <w:bookmarkStart w:name="z18" w:id="12"/>
    <w:p>
      <w:pPr>
        <w:spacing w:after="0"/>
        <w:ind w:left="0"/>
        <w:jc w:val="both"/>
      </w:pPr>
      <w:r>
        <w:rPr>
          <w:rFonts w:ascii="Times New Roman"/>
          <w:b w:val="false"/>
          <w:i w:val="false"/>
          <w:color w:val="000000"/>
          <w:sz w:val="28"/>
        </w:rPr>
        <w:t>
      "Еңбек ресурстарын дамыту орталығы" акционерлік қоғамы – есепті кезеңнен кейінгі күнтізбелік 10 күн ішінде Қазақстан Республикасы Еңбек және халықты әлеуметтік қорғау министрлігіне.</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4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740400" cy="622300"/>
                          </a:xfrm>
                          <a:prstGeom prst="rect">
                            <a:avLst/>
                          </a:prstGeom>
                        </pic:spPr>
                      </pic:pic>
                    </a:graphicData>
                  </a:graphic>
                </wp:inline>
              </w:drawing>
            </w:r>
          </w:p>
          <w:p>
            <w:pPr>
              <w:spacing w:after="20"/>
              <w:ind w:left="20"/>
              <w:jc w:val="both"/>
            </w:pPr>
          </w:p>
          <w:p>
            <w:pPr>
              <w:spacing w:after="20"/>
              <w:ind w:left="20"/>
              <w:jc w:val="both"/>
            </w:pPr>
          </w:p>
        </w:tc>
      </w:tr>
    </w:tbl>
    <w:bookmarkStart w:name="z19" w:id="13"/>
    <w:p>
      <w:pPr>
        <w:spacing w:after="0"/>
        <w:ind w:left="0"/>
        <w:jc w:val="both"/>
      </w:pPr>
      <w:r>
        <w:rPr>
          <w:rFonts w:ascii="Times New Roman"/>
          <w:b w:val="false"/>
          <w:i w:val="false"/>
          <w:color w:val="000000"/>
          <w:sz w:val="28"/>
        </w:rPr>
        <w:t>
      Жинау әдісі: қағаз жеткізгіште, электронды түрде.</w:t>
      </w:r>
    </w:p>
    <w:bookmarkEnd w:id="13"/>
    <w:p>
      <w:pPr>
        <w:spacing w:after="0"/>
        <w:ind w:left="0"/>
        <w:jc w:val="left"/>
      </w:pPr>
      <w:r>
        <w:rPr>
          <w:rFonts w:ascii="Times New Roman"/>
          <w:b/>
          <w:i w:val="false"/>
          <w:color w:val="000000"/>
        </w:rPr>
        <w:t xml:space="preserve"> Мүгедектігі бар балаларды үйде оқытуға жұмсалған шығындарды өтеуді тағайындау және төлеу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 (шифры)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коды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оқитын мүгедектігі бар балалар, адам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 төленбеген сома,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адам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 бойынша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жерлер бойынша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бергі кезең ішінде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адам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адам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мөлшері,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мөлшері,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 Ескертпе: нысан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 түсініктемеге сәйкес толтырылады </w:t>
      </w:r>
    </w:p>
    <w:p>
      <w:pPr>
        <w:spacing w:after="0"/>
        <w:ind w:left="0"/>
        <w:jc w:val="both"/>
      </w:pPr>
      <w:r>
        <w:rPr>
          <w:rFonts w:ascii="Times New Roman"/>
          <w:b w:val="false"/>
          <w:i w:val="false"/>
          <w:color w:val="000000"/>
          <w:sz w:val="28"/>
        </w:rPr>
        <w:t>
      Атауы____________________________ Мекенжайы___________________</w:t>
      </w:r>
    </w:p>
    <w:p>
      <w:pPr>
        <w:spacing w:after="0"/>
        <w:ind w:left="0"/>
        <w:jc w:val="both"/>
      </w:pPr>
      <w:r>
        <w:rPr>
          <w:rFonts w:ascii="Times New Roman"/>
          <w:b w:val="false"/>
          <w:i w:val="false"/>
          <w:color w:val="000000"/>
          <w:sz w:val="28"/>
        </w:rPr>
        <w:t>
      _________________________________ _____________________________</w:t>
      </w:r>
    </w:p>
    <w:p>
      <w:pPr>
        <w:spacing w:after="0"/>
        <w:ind w:left="0"/>
        <w:jc w:val="both"/>
      </w:pPr>
      <w:r>
        <w:rPr>
          <w:rFonts w:ascii="Times New Roman"/>
          <w:b w:val="false"/>
          <w:i w:val="false"/>
          <w:color w:val="000000"/>
          <w:sz w:val="28"/>
        </w:rPr>
        <w:t>
      Телефоны ________________________________________________________________</w:t>
      </w:r>
    </w:p>
    <w:p>
      <w:pPr>
        <w:spacing w:after="0"/>
        <w:ind w:left="0"/>
        <w:jc w:val="both"/>
      </w:pPr>
      <w:r>
        <w:rPr>
          <w:rFonts w:ascii="Times New Roman"/>
          <w:b w:val="false"/>
          <w:i w:val="false"/>
          <w:color w:val="000000"/>
          <w:sz w:val="28"/>
        </w:rPr>
        <w:t>
      Электрондық почта мекенжайы</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____________________________________ 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___________________________________________ 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(жеке кәсіпкерлер болып табылатын тұлғалардан қоспағанда)</w:t>
      </w:r>
    </w:p>
    <w:p>
      <w:pPr>
        <w:spacing w:after="0"/>
        <w:ind w:left="0"/>
        <w:jc w:val="both"/>
      </w:pPr>
      <w:r>
        <w:rPr>
          <w:rFonts w:ascii="Times New Roman"/>
          <w:b w:val="false"/>
          <w:i w:val="false"/>
          <w:color w:val="000000"/>
          <w:sz w:val="28"/>
        </w:rPr>
        <w:t>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балаларды</w:t>
            </w:r>
            <w:r>
              <w:br/>
            </w:r>
            <w:r>
              <w:rPr>
                <w:rFonts w:ascii="Times New Roman"/>
                <w:b w:val="false"/>
                <w:i w:val="false"/>
                <w:color w:val="000000"/>
                <w:sz w:val="20"/>
              </w:rPr>
              <w:t>үйде оқытуға жұмсалған</w:t>
            </w:r>
            <w:r>
              <w:br/>
            </w:r>
            <w:r>
              <w:rPr>
                <w:rFonts w:ascii="Times New Roman"/>
                <w:b w:val="false"/>
                <w:i w:val="false"/>
                <w:color w:val="000000"/>
                <w:sz w:val="20"/>
              </w:rPr>
              <w:t>шығындарды өтеуді тағайындау</w:t>
            </w:r>
            <w:r>
              <w:br/>
            </w:r>
            <w:r>
              <w:rPr>
                <w:rFonts w:ascii="Times New Roman"/>
                <w:b w:val="false"/>
                <w:i w:val="false"/>
                <w:color w:val="000000"/>
                <w:sz w:val="20"/>
              </w:rPr>
              <w:t>және төлеу туралы есеп"</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22" w:id="14"/>
    <w:p>
      <w:pPr>
        <w:spacing w:after="0"/>
        <w:ind w:left="0"/>
        <w:jc w:val="left"/>
      </w:pPr>
      <w:r>
        <w:rPr>
          <w:rFonts w:ascii="Times New Roman"/>
          <w:b/>
          <w:i w:val="false"/>
          <w:color w:val="000000"/>
        </w:rPr>
        <w:t xml:space="preserve"> "Мүгедектігі бар балаларды үйде оқытуға жұмсалған шығындарды өтеуді тағайындау және төлеу туралы есеп" әкімшілік деректерді өтеусіз негізінде жинауға арналған нысанын толтыру жөніндегі түсіндірме (2-шығындарды өтеу және тоқсан сайын)</w:t>
      </w:r>
    </w:p>
    <w:bookmarkEnd w:id="14"/>
    <w:bookmarkStart w:name="z23" w:id="15"/>
    <w:p>
      <w:pPr>
        <w:spacing w:after="0"/>
        <w:ind w:left="0"/>
        <w:jc w:val="left"/>
      </w:pPr>
      <w:r>
        <w:rPr>
          <w:rFonts w:ascii="Times New Roman"/>
          <w:b/>
          <w:i w:val="false"/>
          <w:color w:val="000000"/>
        </w:rPr>
        <w:t xml:space="preserve"> 1-тарау. Жалпы ережелер</w:t>
      </w:r>
    </w:p>
    <w:bookmarkEnd w:id="15"/>
    <w:bookmarkStart w:name="z24" w:id="16"/>
    <w:p>
      <w:pPr>
        <w:spacing w:after="0"/>
        <w:ind w:left="0"/>
        <w:jc w:val="both"/>
      </w:pPr>
      <w:r>
        <w:rPr>
          <w:rFonts w:ascii="Times New Roman"/>
          <w:b w:val="false"/>
          <w:i w:val="false"/>
          <w:color w:val="000000"/>
          <w:sz w:val="28"/>
        </w:rPr>
        <w:t>
      1. Осы түсіндірме "Мүгедектігі бар балаларды үйде оқытуға жұмсалған шығындарды өтеуді тағайындау және төлеу туралы есеп" әкімшілік деректерді жинауға арналған нысанды (бұдан әрі – Нысан) толтыру бойынша талаптарды айқындайды.</w:t>
      </w:r>
    </w:p>
    <w:bookmarkEnd w:id="16"/>
    <w:bookmarkStart w:name="z25" w:id="17"/>
    <w:p>
      <w:pPr>
        <w:spacing w:after="0"/>
        <w:ind w:left="0"/>
        <w:jc w:val="both"/>
      </w:pPr>
      <w:r>
        <w:rPr>
          <w:rFonts w:ascii="Times New Roman"/>
          <w:b w:val="false"/>
          <w:i w:val="false"/>
          <w:color w:val="000000"/>
          <w:sz w:val="28"/>
        </w:rPr>
        <w:t>
      2. Осы Нысанда мынадай негізгі ұғымдар пайдаланылады:</w:t>
      </w:r>
    </w:p>
    <w:bookmarkEnd w:id="17"/>
    <w:bookmarkStart w:name="z26" w:id="18"/>
    <w:p>
      <w:pPr>
        <w:spacing w:after="0"/>
        <w:ind w:left="0"/>
        <w:jc w:val="both"/>
      </w:pPr>
      <w:r>
        <w:rPr>
          <w:rFonts w:ascii="Times New Roman"/>
          <w:b w:val="false"/>
          <w:i w:val="false"/>
          <w:color w:val="000000"/>
          <w:sz w:val="28"/>
        </w:rPr>
        <w:t>
      1) әкімшілік деректер – бастапқы статистикалық және балама деректерді қоспағанда, әкімшілік дереккөздер қалыптастыратын жеке немесе заңды тұлға жөніндегі жеке-дара сандық (сандар көмегімен өлшенетін) және (немесе) сапалық (белгілі бір қағидат және (немесе) белгі бойынша құрылған) деректер және шаруашылық бойынша есепке алу деректері;</w:t>
      </w:r>
    </w:p>
    <w:bookmarkEnd w:id="18"/>
    <w:bookmarkStart w:name="z27" w:id="19"/>
    <w:p>
      <w:pPr>
        <w:spacing w:after="0"/>
        <w:ind w:left="0"/>
        <w:jc w:val="both"/>
      </w:pPr>
      <w:r>
        <w:rPr>
          <w:rFonts w:ascii="Times New Roman"/>
          <w:b w:val="false"/>
          <w:i w:val="false"/>
          <w:color w:val="000000"/>
          <w:sz w:val="28"/>
        </w:rPr>
        <w:t>
      2) Еңбек ресурстарын дамыту орталығы – Қазақстан Республикасы Үкіметінің шешімі бойынша уәкілетті мемлекеттік органның жанынан құрылатын, еңбек нарығын ақпараттық-талдамалық жағынан сүйемелдеуді, жұмыспен қамтуға жәрдемдесудің белсенді шараларын, жұмыспен қамту қызметтерін әдіснамалық жағынан қолдауды, әлеуметтік-еңбек саласының бірыңғай ақпараттық жүйесін дамыту мен қолдап отыруды қамтамасыз ететін заңды тұлға;</w:t>
      </w:r>
    </w:p>
    <w:bookmarkEnd w:id="19"/>
    <w:bookmarkStart w:name="z28" w:id="20"/>
    <w:p>
      <w:pPr>
        <w:spacing w:after="0"/>
        <w:ind w:left="0"/>
        <w:jc w:val="both"/>
      </w:pPr>
      <w:r>
        <w:rPr>
          <w:rFonts w:ascii="Times New Roman"/>
          <w:b w:val="false"/>
          <w:i w:val="false"/>
          <w:color w:val="000000"/>
          <w:sz w:val="28"/>
        </w:rPr>
        <w:t>
      3) мүгедектігі бар бала – тыныс-тіршілігінің шектелуіне және әлеуметтік жағынан қорғау қажеттігіне алып келетін, ауруларға, мертігулерге (жаралануға, жарақаттарға, контузияларға), олардың зардаптарына, бұзылуына байланысты организм функциялары тұрақты бұзылып, денсаулығы нашарлаған он сегіз жасқа дейінгі адам.</w:t>
      </w:r>
    </w:p>
    <w:bookmarkEnd w:id="20"/>
    <w:bookmarkStart w:name="z29" w:id="21"/>
    <w:p>
      <w:pPr>
        <w:spacing w:after="0"/>
        <w:ind w:left="0"/>
        <w:jc w:val="both"/>
      </w:pPr>
      <w:r>
        <w:rPr>
          <w:rFonts w:ascii="Times New Roman"/>
          <w:b w:val="false"/>
          <w:i w:val="false"/>
          <w:color w:val="000000"/>
          <w:sz w:val="28"/>
        </w:rPr>
        <w:t>
      3. Аталған Нысанды енгізудің негізгі міндеті мүгедектігі бар балаларды үйде оқытуға жұмсалған шығындарды өтеуді тағайындауға және төлеуге ай сайынғы мониторингті жүзеге асыру болып табылады</w:t>
      </w:r>
    </w:p>
    <w:bookmarkEnd w:id="21"/>
    <w:bookmarkStart w:name="z30" w:id="22"/>
    <w:p>
      <w:pPr>
        <w:spacing w:after="0"/>
        <w:ind w:left="0"/>
        <w:jc w:val="both"/>
      </w:pPr>
      <w:r>
        <w:rPr>
          <w:rFonts w:ascii="Times New Roman"/>
          <w:b w:val="false"/>
          <w:i w:val="false"/>
          <w:color w:val="000000"/>
          <w:sz w:val="28"/>
        </w:rPr>
        <w:t>
      4. Облыстардың, республикалық маңызы бар қалалардың, астананың жергілікті атқарушы органдары Нысанды "Еңбек ресурстарын дамыту орталығы" акционерлік қоғамына тоқсан сайын есепті кезеңнен кейінгі айдың 10-на дейін ұсынады.</w:t>
      </w:r>
    </w:p>
    <w:bookmarkEnd w:id="22"/>
    <w:bookmarkStart w:name="z31" w:id="23"/>
    <w:p>
      <w:pPr>
        <w:spacing w:after="0"/>
        <w:ind w:left="0"/>
        <w:jc w:val="both"/>
      </w:pPr>
      <w:r>
        <w:rPr>
          <w:rFonts w:ascii="Times New Roman"/>
          <w:b w:val="false"/>
          <w:i w:val="false"/>
          <w:color w:val="000000"/>
          <w:sz w:val="28"/>
        </w:rPr>
        <w:t>
      5. Осы бұйрыққа қосымшамен бекітілген Нысанды "Еңбек ресурстарын дамыту орталығы" акционерлік қоғамы қалыптастырады және Қазақстан Республикасы Еңбек және халықты әлеуметтік қорғау министрлігіне есепті кезеңнен кейінгі күнтізбелік 10 күн ішінде ұсынады.</w:t>
      </w:r>
    </w:p>
    <w:bookmarkEnd w:id="23"/>
    <w:bookmarkStart w:name="z32" w:id="24"/>
    <w:p>
      <w:pPr>
        <w:spacing w:after="0"/>
        <w:ind w:left="0"/>
        <w:jc w:val="both"/>
      </w:pPr>
      <w:r>
        <w:rPr>
          <w:rFonts w:ascii="Times New Roman"/>
          <w:b w:val="false"/>
          <w:i w:val="false"/>
          <w:color w:val="000000"/>
          <w:sz w:val="28"/>
        </w:rPr>
        <w:t>
      6. Нысанға басшы, ал ол болмаған жағдайда оның міндетін атқарушы адам қол қояды.</w:t>
      </w:r>
    </w:p>
    <w:bookmarkEnd w:id="24"/>
    <w:bookmarkStart w:name="z33" w:id="25"/>
    <w:p>
      <w:pPr>
        <w:spacing w:after="0"/>
        <w:ind w:left="0"/>
        <w:jc w:val="left"/>
      </w:pPr>
      <w:r>
        <w:rPr>
          <w:rFonts w:ascii="Times New Roman"/>
          <w:b/>
          <w:i w:val="false"/>
          <w:color w:val="000000"/>
        </w:rPr>
        <w:t xml:space="preserve"> 2-тарау. Нысанды толтыру бойынша түсіндірме</w:t>
      </w:r>
    </w:p>
    <w:bookmarkEnd w:id="25"/>
    <w:bookmarkStart w:name="z34" w:id="26"/>
    <w:p>
      <w:pPr>
        <w:spacing w:after="0"/>
        <w:ind w:left="0"/>
        <w:jc w:val="both"/>
      </w:pPr>
      <w:r>
        <w:rPr>
          <w:rFonts w:ascii="Times New Roman"/>
          <w:b w:val="false"/>
          <w:i w:val="false"/>
          <w:color w:val="000000"/>
          <w:sz w:val="28"/>
        </w:rPr>
        <w:t>
      7. Нысанның "А" бағанында облыстар, республикалық маңызы бар қалалар және астана бөлінісінде жолдардың нөмірленуі көрсетіледі.</w:t>
      </w:r>
    </w:p>
    <w:bookmarkEnd w:id="26"/>
    <w:bookmarkStart w:name="z35" w:id="27"/>
    <w:p>
      <w:pPr>
        <w:spacing w:after="0"/>
        <w:ind w:left="0"/>
        <w:jc w:val="both"/>
      </w:pPr>
      <w:r>
        <w:rPr>
          <w:rFonts w:ascii="Times New Roman"/>
          <w:b w:val="false"/>
          <w:i w:val="false"/>
          <w:color w:val="000000"/>
          <w:sz w:val="28"/>
        </w:rPr>
        <w:t>
      8. Нысанның "Б" бағанында қалалық және ауылдық жерлер бөлінісінде облыстардың, республикалық маңызы бар қалалардың және астананың атауы бойынша деректері көрсетіледі.</w:t>
      </w:r>
    </w:p>
    <w:bookmarkEnd w:id="27"/>
    <w:bookmarkStart w:name="z36" w:id="28"/>
    <w:p>
      <w:pPr>
        <w:spacing w:after="0"/>
        <w:ind w:left="0"/>
        <w:jc w:val="both"/>
      </w:pPr>
      <w:r>
        <w:rPr>
          <w:rFonts w:ascii="Times New Roman"/>
          <w:b w:val="false"/>
          <w:i w:val="false"/>
          <w:color w:val="000000"/>
          <w:sz w:val="28"/>
        </w:rPr>
        <w:t>
      9. Нысанның "В" бағанында әкімшілік-аумақтық объектілердің сыныптауышы бойынша коды көрсетіледі.</w:t>
      </w:r>
    </w:p>
    <w:bookmarkEnd w:id="28"/>
    <w:bookmarkStart w:name="z37" w:id="29"/>
    <w:p>
      <w:pPr>
        <w:spacing w:after="0"/>
        <w:ind w:left="0"/>
        <w:jc w:val="both"/>
      </w:pPr>
      <w:r>
        <w:rPr>
          <w:rFonts w:ascii="Times New Roman"/>
          <w:b w:val="false"/>
          <w:i w:val="false"/>
          <w:color w:val="000000"/>
          <w:sz w:val="28"/>
        </w:rPr>
        <w:t>
      10. Нысанның 1-бағанында есепті кезеңнің соңындағы үйде оқитын мүгедектігі бар балалардың жалпы саны көрсетіледі.</w:t>
      </w:r>
    </w:p>
    <w:bookmarkEnd w:id="29"/>
    <w:bookmarkStart w:name="z38" w:id="30"/>
    <w:p>
      <w:pPr>
        <w:spacing w:after="0"/>
        <w:ind w:left="0"/>
        <w:jc w:val="both"/>
      </w:pPr>
      <w:r>
        <w:rPr>
          <w:rFonts w:ascii="Times New Roman"/>
          <w:b w:val="false"/>
          <w:i w:val="false"/>
          <w:color w:val="000000"/>
          <w:sz w:val="28"/>
        </w:rPr>
        <w:t>
      11. Нысанның 2-бағанында есепті кезеңнің соңындағы үйде оқитын мүгедектігі бар ұл балалардың саны көрсетіледі.</w:t>
      </w:r>
    </w:p>
    <w:bookmarkEnd w:id="30"/>
    <w:bookmarkStart w:name="z39" w:id="31"/>
    <w:p>
      <w:pPr>
        <w:spacing w:after="0"/>
        <w:ind w:left="0"/>
        <w:jc w:val="both"/>
      </w:pPr>
      <w:r>
        <w:rPr>
          <w:rFonts w:ascii="Times New Roman"/>
          <w:b w:val="false"/>
          <w:i w:val="false"/>
          <w:color w:val="000000"/>
          <w:sz w:val="28"/>
        </w:rPr>
        <w:t>
      12. Нысанның 3-бағанында есепті кезеңнің соңындағы үйде оқитын мүгедектігі бар қыз балалардың саны көрсетіледі.</w:t>
      </w:r>
    </w:p>
    <w:bookmarkEnd w:id="31"/>
    <w:bookmarkStart w:name="z40" w:id="32"/>
    <w:p>
      <w:pPr>
        <w:spacing w:after="0"/>
        <w:ind w:left="0"/>
        <w:jc w:val="both"/>
      </w:pPr>
      <w:r>
        <w:rPr>
          <w:rFonts w:ascii="Times New Roman"/>
          <w:b w:val="false"/>
          <w:i w:val="false"/>
          <w:color w:val="000000"/>
          <w:sz w:val="28"/>
        </w:rPr>
        <w:t>
      13. Нысанның 4-бағанында мүгедектігі бар балаларды үйде оқытуға жұмсалған шығындарды өтеудің есепті кезеңнің басына төленбеген сомасы көрсетіледі.</w:t>
      </w:r>
    </w:p>
    <w:bookmarkEnd w:id="32"/>
    <w:bookmarkStart w:name="z41" w:id="33"/>
    <w:p>
      <w:pPr>
        <w:spacing w:after="0"/>
        <w:ind w:left="0"/>
        <w:jc w:val="both"/>
      </w:pPr>
      <w:r>
        <w:rPr>
          <w:rFonts w:ascii="Times New Roman"/>
          <w:b w:val="false"/>
          <w:i w:val="false"/>
          <w:color w:val="000000"/>
          <w:sz w:val="28"/>
        </w:rPr>
        <w:t>
      14. Нысанның 5-10-бағандарында есепті тоқсан ішіндегі барлық деректер көрсетіледі:</w:t>
      </w:r>
    </w:p>
    <w:bookmarkEnd w:id="33"/>
    <w:p>
      <w:pPr>
        <w:spacing w:after="0"/>
        <w:ind w:left="0"/>
        <w:jc w:val="both"/>
      </w:pPr>
      <w:r>
        <w:rPr>
          <w:rFonts w:ascii="Times New Roman"/>
          <w:b w:val="false"/>
          <w:i w:val="false"/>
          <w:color w:val="000000"/>
          <w:sz w:val="28"/>
        </w:rPr>
        <w:t>
      нысанның 5-бағанында есепті тоқсан ішінде мүгедектігі бар балаларды үйде оқытуға жұмсалған шығындарды өтеу тағайындалған адамдардың саны көрсетіледі. Бұл ретте әрбір нақты өтініш беруші есепті кезең ішінде мүгедектігі бар балаларды үйде оқытуға жұмсалған шығындарды өтеуге қайталап берген өтініштерінің санына қарамастан, бір рет қана есепке алынып, бір рет қана енгізіледі;</w:t>
      </w:r>
    </w:p>
    <w:p>
      <w:pPr>
        <w:spacing w:after="0"/>
        <w:ind w:left="0"/>
        <w:jc w:val="both"/>
      </w:pPr>
      <w:r>
        <w:rPr>
          <w:rFonts w:ascii="Times New Roman"/>
          <w:b w:val="false"/>
          <w:i w:val="false"/>
          <w:color w:val="000000"/>
          <w:sz w:val="28"/>
        </w:rPr>
        <w:t>
      нысанның 6-бағанында есепті тоқсан ішінде тағайындалған мүгедектігі бар балаларды үйде оқытуға жұмсалған шығындарды өтеудің жалпы сомасы көрсетіледі. Бұл ретте әрбір нақты өтініш беруші есепті кезең ішінде мүгедектігі бар балаларды үйде оқытуға жұмсалған шығындарды өтеуге қайталап берген өтініштерінің санына қарамастан, бір рет қана есепке алынып, бір рет қана енгізіледі;</w:t>
      </w:r>
    </w:p>
    <w:p>
      <w:pPr>
        <w:spacing w:after="0"/>
        <w:ind w:left="0"/>
        <w:jc w:val="both"/>
      </w:pPr>
      <w:r>
        <w:rPr>
          <w:rFonts w:ascii="Times New Roman"/>
          <w:b w:val="false"/>
          <w:i w:val="false"/>
          <w:color w:val="000000"/>
          <w:sz w:val="28"/>
        </w:rPr>
        <w:t>
      нысанның 7-бағанында есепті тоқсан ішінде тағайындалған мүгедектігі бар балаларды үйде оқытуға жұмсалған шығындарды өтеудің орташа айлық мөлшері көрсетіледі;</w:t>
      </w:r>
    </w:p>
    <w:p>
      <w:pPr>
        <w:spacing w:after="0"/>
        <w:ind w:left="0"/>
        <w:jc w:val="both"/>
      </w:pPr>
      <w:r>
        <w:rPr>
          <w:rFonts w:ascii="Times New Roman"/>
          <w:b w:val="false"/>
          <w:i w:val="false"/>
          <w:color w:val="000000"/>
          <w:sz w:val="28"/>
        </w:rPr>
        <w:t>
      нысанның 8-бағанында есепті тоқсан ішінде мүгедектігі бар балаларды үйде оқытуға жұмсалған шығындарды өтеу төленген алушылардың саны көрсетіледі. Бұл ретте әрбір нақты өтініш беруші есепті кезең ішінде мүгедектігі бар балаларды үйде оқытуға жұмсалған шығындарды өтеуге қайталап берген өтініштерінің санына қарамастан, бір рет қана есепке алынып, бір рет қана енгізіледі;</w:t>
      </w:r>
    </w:p>
    <w:p>
      <w:pPr>
        <w:spacing w:after="0"/>
        <w:ind w:left="0"/>
        <w:jc w:val="both"/>
      </w:pPr>
      <w:r>
        <w:rPr>
          <w:rFonts w:ascii="Times New Roman"/>
          <w:b w:val="false"/>
          <w:i w:val="false"/>
          <w:color w:val="000000"/>
          <w:sz w:val="28"/>
        </w:rPr>
        <w:t>
      нысанның 9-бағанында есепті тоқсан ішінде төленген мүгедектігі бар ма балаларды үйде оқытуға жұмсалған шығындарды өтеудің жалпы сомасы көрсетіледі. Бұл ретте әрбір нақты өтініш берушіні есепті кезең ішінде мүгедектігі бар балаларды үйде оқытуға жұмсалған шығындарды өтеуге қайталап берген өтініштерінің санына қарамастан, бір рет қана есепке алынып, бір рет қана енгізіледі;</w:t>
      </w:r>
    </w:p>
    <w:p>
      <w:pPr>
        <w:spacing w:after="0"/>
        <w:ind w:left="0"/>
        <w:jc w:val="both"/>
      </w:pPr>
      <w:r>
        <w:rPr>
          <w:rFonts w:ascii="Times New Roman"/>
          <w:b w:val="false"/>
          <w:i w:val="false"/>
          <w:color w:val="000000"/>
          <w:sz w:val="28"/>
        </w:rPr>
        <w:t>
      нысанның 10-бағанында есепті тоқсан ішінде төленген мүгедектігі бар балаларды үйде оқытуға жұмсалған шығындарды өтеудің орташа айлық мөлшері көрсетіледі;</w:t>
      </w:r>
    </w:p>
    <w:bookmarkStart w:name="z42" w:id="34"/>
    <w:p>
      <w:pPr>
        <w:spacing w:after="0"/>
        <w:ind w:left="0"/>
        <w:jc w:val="both"/>
      </w:pPr>
      <w:r>
        <w:rPr>
          <w:rFonts w:ascii="Times New Roman"/>
          <w:b w:val="false"/>
          <w:i w:val="false"/>
          <w:color w:val="000000"/>
          <w:sz w:val="28"/>
        </w:rPr>
        <w:t>
      15. Нысанның 11-16-бағандарында жыл басынан бергі барлық мәліметтер көрсетіледі:</w:t>
      </w:r>
    </w:p>
    <w:bookmarkEnd w:id="34"/>
    <w:p>
      <w:pPr>
        <w:spacing w:after="0"/>
        <w:ind w:left="0"/>
        <w:jc w:val="both"/>
      </w:pPr>
      <w:r>
        <w:rPr>
          <w:rFonts w:ascii="Times New Roman"/>
          <w:b w:val="false"/>
          <w:i w:val="false"/>
          <w:color w:val="000000"/>
          <w:sz w:val="28"/>
        </w:rPr>
        <w:t>
      нысанның 11-бағанында жыл басынан бергі кезең ішінде мүгедектігі бар балаларды үйде оқытуға жұмсалған шығындарды өтеу тағайындалған адамдардың саны көрсетіледі. Бұл ретте әрбір нақты өтініш беруші есепті кезең ішінде мүгедектігі бар балаларды үйде оқытуға жұмсалған шығындарды өтеуге қайталап берген өтініштерінің санына қарамастан, бір рет қана есепке алынып, бір рет қана енгізіледі;</w:t>
      </w:r>
    </w:p>
    <w:p>
      <w:pPr>
        <w:spacing w:after="0"/>
        <w:ind w:left="0"/>
        <w:jc w:val="both"/>
      </w:pPr>
      <w:r>
        <w:rPr>
          <w:rFonts w:ascii="Times New Roman"/>
          <w:b w:val="false"/>
          <w:i w:val="false"/>
          <w:color w:val="000000"/>
          <w:sz w:val="28"/>
        </w:rPr>
        <w:t>
      нысанның 12-бағанында жыл басынан бергі кезең ішінде тағайындалған мүгедектігі бар балаларды үйде оқытуға жұмсалған шығындарды өтеудің жалпы сомасы көрсетіледі. Ол тағайындалған тоқсан сайынғы сомаларды қосу жолымен айқындалады;</w:t>
      </w:r>
    </w:p>
    <w:p>
      <w:pPr>
        <w:spacing w:after="0"/>
        <w:ind w:left="0"/>
        <w:jc w:val="both"/>
      </w:pPr>
      <w:r>
        <w:rPr>
          <w:rFonts w:ascii="Times New Roman"/>
          <w:b w:val="false"/>
          <w:i w:val="false"/>
          <w:color w:val="000000"/>
          <w:sz w:val="28"/>
        </w:rPr>
        <w:t>
      нысанның 13-бағанында жыл басынан бергі кезең ішінде тағайындалған мүгедектігі бар балаларды үйде оқытуға жұмсалған шығындарды өтеудің орташа айлық мөлшері көрсетіледі, оның мәні 12-бағанды 11-бағанға және көрсетілген кезең ішіндегі айлардың санына бөлу арқылы айқындалады;</w:t>
      </w:r>
    </w:p>
    <w:p>
      <w:pPr>
        <w:spacing w:after="0"/>
        <w:ind w:left="0"/>
        <w:jc w:val="both"/>
      </w:pPr>
      <w:r>
        <w:rPr>
          <w:rFonts w:ascii="Times New Roman"/>
          <w:b w:val="false"/>
          <w:i w:val="false"/>
          <w:color w:val="000000"/>
          <w:sz w:val="28"/>
        </w:rPr>
        <w:t>
      нысанның 14-бағанында жыл басынан бергі кезең ішінде мүгедектігі бар балаларды үйде оқытуға жұмсалған шығындарды өтеу төленген алушылардың саны көрсетіледі. Бұл ретте әрбір нақты өтініш беруші есепті кезең ішінде мүгедектігі бар балаларды үйде оқытуға жұмсалған шығындарды өтеуге қайталап берген өтініштерінің санына қарамастан, бір рет қана есепке алынып, бір рет қана енгізіледі;</w:t>
      </w:r>
    </w:p>
    <w:p>
      <w:pPr>
        <w:spacing w:after="0"/>
        <w:ind w:left="0"/>
        <w:jc w:val="both"/>
      </w:pPr>
      <w:r>
        <w:rPr>
          <w:rFonts w:ascii="Times New Roman"/>
          <w:b w:val="false"/>
          <w:i w:val="false"/>
          <w:color w:val="000000"/>
          <w:sz w:val="28"/>
        </w:rPr>
        <w:t>
      нысанның 15-бағанында жыл басынан бергі кезең ішінде төленген мүгедектігі бар балаларды үйде оқытуға жұмсалған шығындарды өтеудің жалпы сомасы көрсетіледі. Ол тағайындалған тоқсан сайынғы сомаларды қосу жолымен айқындалады;</w:t>
      </w:r>
    </w:p>
    <w:p>
      <w:pPr>
        <w:spacing w:after="0"/>
        <w:ind w:left="0"/>
        <w:jc w:val="both"/>
      </w:pPr>
      <w:r>
        <w:rPr>
          <w:rFonts w:ascii="Times New Roman"/>
          <w:b w:val="false"/>
          <w:i w:val="false"/>
          <w:color w:val="000000"/>
          <w:sz w:val="28"/>
        </w:rPr>
        <w:t>
      нысанның 16-бағанында жыл басынан бергі кезең ішінде төленген мүгедектігі бар балаларды үйде оқытуға жұмсалған шығындарды өтеудің орташа айлық мөлшері көрсетіледі, оның мәні 15-бағанды 14-бағанға және көрсетілген кезең ішіндегі айлардың санына бөлу арқылы айқындалады.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