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6d36" w14:textId="ae76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мемлекеттік ұлттық табиғи паркі" мемлекеттік мекемесі көрсететін қызметтер үшін тарифтердің мөлшерін бекіту туралы</w:t>
      </w:r>
    </w:p>
    <w:p>
      <w:pPr>
        <w:spacing w:after="0"/>
        <w:ind w:left="0"/>
        <w:jc w:val="both"/>
      </w:pPr>
      <w:r>
        <w:rPr>
          <w:rFonts w:ascii="Times New Roman"/>
          <w:b w:val="false"/>
          <w:i w:val="false"/>
          <w:color w:val="000000"/>
          <w:sz w:val="28"/>
        </w:rPr>
        <w:t>Қазақстан Республикасы Президенті Іс басқарушысының 2024 жылғы 14 қарашадағы № 04/276 бұйрығы. Қазақстан Республикасының Әділет министрлігінде 2024 жылғы 14 қарашада № 35371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 Заңының 9-1 - 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"Бурабай" мемлекеттік ұлттық табиғи паркі" мемлекеттік мекемесі көрсететін қызметтер үшін тарифтердің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 Іс басқармасының ведомстволық қарасты ұйымдарды басқару жөніндегі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Президенті Іс басқармасының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басқарушысының орынбасары Р.А. Баялиевке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 Іс басқарушысы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r>
              <w:br/>
            </w:r>
            <w:r>
              <w:rPr>
                <w:rFonts w:ascii="Times New Roman"/>
                <w:b w:val="false"/>
                <w:i w:val="false"/>
                <w:color w:val="000000"/>
                <w:sz w:val="20"/>
              </w:rPr>
              <w:t>№ 04/276 Бұйрыққа қосымша</w:t>
            </w:r>
          </w:p>
        </w:tc>
      </w:tr>
    </w:tbl>
    <w:bookmarkStart w:name="z9" w:id="7"/>
    <w:p>
      <w:pPr>
        <w:spacing w:after="0"/>
        <w:ind w:left="0"/>
        <w:jc w:val="left"/>
      </w:pPr>
      <w:r>
        <w:rPr>
          <w:rFonts w:ascii="Times New Roman"/>
          <w:b/>
          <w:i w:val="false"/>
          <w:color w:val="000000"/>
        </w:rPr>
        <w:t xml:space="preserve"> "Бурабай" мемлекеттік ұлттық табиғи паркі" мемлекеттік мекемесі  көрсететін ұсынатын қызметтер үшін тарифтердің мөлшері</w:t>
      </w:r>
    </w:p>
    <w:bookmarkEnd w:id="7"/>
    <w:p>
      <w:pPr>
        <w:spacing w:after="0"/>
        <w:ind w:left="0"/>
        <w:jc w:val="both"/>
      </w:pPr>
      <w:r>
        <w:rPr>
          <w:rFonts w:ascii="Times New Roman"/>
          <w:b w:val="false"/>
          <w:i w:val="false"/>
          <w:color w:val="ff0000"/>
          <w:sz w:val="28"/>
        </w:rPr>
        <w:t xml:space="preserve">
      Ескерту. Тарифтердің мөлшеріне өзгеріс енгізілді - ҚР Президенті Іс басқарушысының 05.01.2025 </w:t>
      </w:r>
      <w:r>
        <w:rPr>
          <w:rFonts w:ascii="Times New Roman"/>
          <w:b w:val="false"/>
          <w:i w:val="false"/>
          <w:color w:val="ff0000"/>
          <w:sz w:val="28"/>
        </w:rPr>
        <w:t>№ 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экскурсиялар мен туристік жорықтарды өткізу кезінде туристік соқпақтарды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алаңдарын, бивач алаңдарын, шатырлы лагерьлерді, кемпингтерді, жағажайларды орналастыру үшін (қысқа мерзімді пайдалану шарттары бойынша) орындар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жүргізу, жолдар салу және орналастыру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сауда және басқа да мәдени - тұрмыстық мақсаттағы объектілерді орналастыру үшін орындар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электр қуатын беру және байланыс желілерін салу мен орналастыру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аумақтың басқаруындағы қонақүйлерден орын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ұйымдастыру (5 ілмекті 1 қармақпен)*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АЕК</w:t>
            </w:r>
          </w:p>
          <w:p>
            <w:pPr>
              <w:spacing w:after="20"/>
              <w:ind w:left="20"/>
              <w:jc w:val="both"/>
            </w:pPr>
            <w:r>
              <w:rPr>
                <w:rFonts w:ascii="Times New Roman"/>
                <w:b w:val="false"/>
                <w:i w:val="false"/>
                <w:color w:val="000000"/>
                <w:sz w:val="20"/>
              </w:rPr>
              <w:t>
(5 кг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ерекше қорғалатын табиғи аумақтың басқаруындағы шатырлы лагерьлерді орналастыру үшін орындар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оның ішінде электр желілеріне қолжетімділігі бар орындарда электр зарядтау станцияларымен тұрақтар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түсірілімдерді өткізу кезінде табиғи-қорық қоры, табиғи және тарихи-мәдени мұра объектілеріне, табиғат мұражайлары мен тірі табиғат бұрыштарына барған және зерделеген кезде кино, бейне және фототүсірілім жүргізу бойынша қызметтер көрсету:</w:t>
            </w:r>
          </w:p>
          <w:p>
            <w:pPr>
              <w:spacing w:after="20"/>
              <w:ind w:left="20"/>
              <w:jc w:val="both"/>
            </w:pPr>
            <w:r>
              <w:rPr>
                <w:rFonts w:ascii="Times New Roman"/>
                <w:b w:val="false"/>
                <w:i w:val="false"/>
                <w:color w:val="000000"/>
                <w:sz w:val="20"/>
              </w:rPr>
              <w:t>
1. Фототүсірілім</w:t>
            </w:r>
          </w:p>
          <w:p>
            <w:pPr>
              <w:spacing w:after="20"/>
              <w:ind w:left="20"/>
              <w:jc w:val="both"/>
            </w:pPr>
            <w:r>
              <w:rPr>
                <w:rFonts w:ascii="Times New Roman"/>
                <w:b w:val="false"/>
                <w:i w:val="false"/>
                <w:color w:val="000000"/>
                <w:sz w:val="20"/>
              </w:rPr>
              <w:t>
2. Бейнетүсірілім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p>
            <w:pPr>
              <w:spacing w:after="20"/>
              <w:ind w:left="20"/>
              <w:jc w:val="both"/>
            </w:pPr>
            <w:r>
              <w:rPr>
                <w:rFonts w:ascii="Times New Roman"/>
                <w:b w:val="false"/>
                <w:i w:val="false"/>
                <w:color w:val="000000"/>
                <w:sz w:val="20"/>
              </w:rPr>
              <w:t>
1 тәулік</w:t>
            </w:r>
          </w:p>
          <w:p>
            <w:pPr>
              <w:spacing w:after="20"/>
              <w:ind w:left="20"/>
              <w:jc w:val="both"/>
            </w:pPr>
            <w:r>
              <w:rPr>
                <w:rFonts w:ascii="Times New Roman"/>
                <w:b w:val="false"/>
                <w:i w:val="false"/>
                <w:color w:val="000000"/>
                <w:sz w:val="20"/>
              </w:rPr>
              <w:t>
1 сағат</w:t>
            </w:r>
          </w:p>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 АЕК</w:t>
            </w:r>
          </w:p>
          <w:p>
            <w:pPr>
              <w:spacing w:after="20"/>
              <w:ind w:left="20"/>
              <w:jc w:val="both"/>
            </w:pPr>
            <w:r>
              <w:rPr>
                <w:rFonts w:ascii="Times New Roman"/>
                <w:b w:val="false"/>
                <w:i w:val="false"/>
                <w:color w:val="000000"/>
                <w:sz w:val="20"/>
              </w:rPr>
              <w:t>
6,77 АЕК</w:t>
            </w:r>
          </w:p>
          <w:p>
            <w:pPr>
              <w:spacing w:after="20"/>
              <w:ind w:left="20"/>
              <w:jc w:val="both"/>
            </w:pPr>
            <w:r>
              <w:rPr>
                <w:rFonts w:ascii="Times New Roman"/>
                <w:b w:val="false"/>
                <w:i w:val="false"/>
                <w:color w:val="000000"/>
                <w:sz w:val="20"/>
              </w:rPr>
              <w:t>
1,89 АЕК</w:t>
            </w:r>
          </w:p>
          <w:p>
            <w:pPr>
              <w:spacing w:after="20"/>
              <w:ind w:left="20"/>
              <w:jc w:val="both"/>
            </w:pPr>
            <w:r>
              <w:rPr>
                <w:rFonts w:ascii="Times New Roman"/>
                <w:b w:val="false"/>
                <w:i w:val="false"/>
                <w:color w:val="000000"/>
                <w:sz w:val="20"/>
              </w:rPr>
              <w:t>
14,89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мекемесінің аумағына автомобиль көлік құралының кіруі үшін ақы алу (сараланған тариф) **:</w:t>
            </w:r>
          </w:p>
          <w:p>
            <w:pPr>
              <w:spacing w:after="20"/>
              <w:ind w:left="20"/>
              <w:jc w:val="both"/>
            </w:pPr>
            <w:r>
              <w:rPr>
                <w:rFonts w:ascii="Times New Roman"/>
                <w:b w:val="false"/>
                <w:i w:val="false"/>
                <w:color w:val="000000"/>
                <w:sz w:val="20"/>
              </w:rPr>
              <w:t>
1 мамырдан 30 қыркүйекке дейінгі демалыс және мереке күндерін қоспағанда, жыл бойы:</w:t>
            </w:r>
          </w:p>
          <w:p>
            <w:pPr>
              <w:spacing w:after="20"/>
              <w:ind w:left="20"/>
              <w:jc w:val="both"/>
            </w:pPr>
            <w:r>
              <w:rPr>
                <w:rFonts w:ascii="Times New Roman"/>
                <w:b w:val="false"/>
                <w:i w:val="false"/>
                <w:color w:val="000000"/>
                <w:sz w:val="20"/>
              </w:rPr>
              <w:t>
- жеңіл автомобильдер………………………........................</w:t>
            </w:r>
          </w:p>
          <w:p>
            <w:pPr>
              <w:spacing w:after="20"/>
              <w:ind w:left="20"/>
              <w:jc w:val="both"/>
            </w:pPr>
            <w:r>
              <w:rPr>
                <w:rFonts w:ascii="Times New Roman"/>
                <w:b w:val="false"/>
                <w:i w:val="false"/>
                <w:color w:val="000000"/>
                <w:sz w:val="20"/>
              </w:rPr>
              <w:t>
- 16 орынға дейінгі автобустар және жүк автомобильдері..</w:t>
            </w:r>
          </w:p>
          <w:p>
            <w:pPr>
              <w:spacing w:after="20"/>
              <w:ind w:left="20"/>
              <w:jc w:val="both"/>
            </w:pPr>
            <w:r>
              <w:rPr>
                <w:rFonts w:ascii="Times New Roman"/>
                <w:b w:val="false"/>
                <w:i w:val="false"/>
                <w:color w:val="000000"/>
                <w:sz w:val="20"/>
              </w:rPr>
              <w:t>
- 32 орынға дейінгі автобустар.............................................</w:t>
            </w:r>
          </w:p>
          <w:p>
            <w:pPr>
              <w:spacing w:after="20"/>
              <w:ind w:left="20"/>
              <w:jc w:val="both"/>
            </w:pPr>
            <w:r>
              <w:rPr>
                <w:rFonts w:ascii="Times New Roman"/>
                <w:b w:val="false"/>
                <w:i w:val="false"/>
                <w:color w:val="000000"/>
                <w:sz w:val="20"/>
              </w:rPr>
              <w:t>
- 32 орыннан асатын автобустар.........................................</w:t>
            </w:r>
          </w:p>
          <w:p>
            <w:pPr>
              <w:spacing w:after="20"/>
              <w:ind w:left="20"/>
              <w:jc w:val="both"/>
            </w:pPr>
            <w:r>
              <w:rPr>
                <w:rFonts w:ascii="Times New Roman"/>
                <w:b w:val="false"/>
                <w:i w:val="false"/>
                <w:color w:val="000000"/>
                <w:sz w:val="20"/>
              </w:rPr>
              <w:t>
демалыс және мереке күндері 1 мамыр мен 30 қыркүйек аралығында:</w:t>
            </w:r>
          </w:p>
          <w:p>
            <w:pPr>
              <w:spacing w:after="20"/>
              <w:ind w:left="20"/>
              <w:jc w:val="both"/>
            </w:pPr>
            <w:r>
              <w:rPr>
                <w:rFonts w:ascii="Times New Roman"/>
                <w:b w:val="false"/>
                <w:i w:val="false"/>
                <w:color w:val="000000"/>
                <w:sz w:val="20"/>
              </w:rPr>
              <w:t>
- жеңіл автомобильдер…..……………………......................</w:t>
            </w:r>
          </w:p>
          <w:p>
            <w:pPr>
              <w:spacing w:after="20"/>
              <w:ind w:left="20"/>
              <w:jc w:val="both"/>
            </w:pPr>
            <w:r>
              <w:rPr>
                <w:rFonts w:ascii="Times New Roman"/>
                <w:b w:val="false"/>
                <w:i w:val="false"/>
                <w:color w:val="000000"/>
                <w:sz w:val="20"/>
              </w:rPr>
              <w:t>
- 16 орынға дейінгі автобустар және жүк автомобильдері..</w:t>
            </w:r>
          </w:p>
          <w:p>
            <w:pPr>
              <w:spacing w:after="20"/>
              <w:ind w:left="20"/>
              <w:jc w:val="both"/>
            </w:pPr>
            <w:r>
              <w:rPr>
                <w:rFonts w:ascii="Times New Roman"/>
                <w:b w:val="false"/>
                <w:i w:val="false"/>
                <w:color w:val="000000"/>
                <w:sz w:val="20"/>
              </w:rPr>
              <w:t>
- 32 орынға дейінгі автобустар...............................................</w:t>
            </w:r>
          </w:p>
          <w:p>
            <w:pPr>
              <w:spacing w:after="20"/>
              <w:ind w:left="20"/>
              <w:jc w:val="both"/>
            </w:pPr>
            <w:r>
              <w:rPr>
                <w:rFonts w:ascii="Times New Roman"/>
                <w:b w:val="false"/>
                <w:i w:val="false"/>
                <w:color w:val="000000"/>
                <w:sz w:val="20"/>
              </w:rPr>
              <w:t>
- 32 орыннан асатын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болған күні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 АЕК</w:t>
            </w:r>
          </w:p>
          <w:p>
            <w:pPr>
              <w:spacing w:after="20"/>
              <w:ind w:left="20"/>
              <w:jc w:val="both"/>
            </w:pPr>
            <w:r>
              <w:rPr>
                <w:rFonts w:ascii="Times New Roman"/>
                <w:b w:val="false"/>
                <w:i w:val="false"/>
                <w:color w:val="000000"/>
                <w:sz w:val="20"/>
              </w:rPr>
              <w:t>
1,0 АЕК</w:t>
            </w:r>
          </w:p>
          <w:p>
            <w:pPr>
              <w:spacing w:after="20"/>
              <w:ind w:left="20"/>
              <w:jc w:val="both"/>
            </w:pPr>
            <w:r>
              <w:rPr>
                <w:rFonts w:ascii="Times New Roman"/>
                <w:b w:val="false"/>
                <w:i w:val="false"/>
                <w:color w:val="000000"/>
                <w:sz w:val="20"/>
              </w:rPr>
              <w:t>
2,0 АЕК</w:t>
            </w:r>
          </w:p>
          <w:p>
            <w:pPr>
              <w:spacing w:after="20"/>
              <w:ind w:left="20"/>
              <w:jc w:val="both"/>
            </w:pPr>
            <w:r>
              <w:rPr>
                <w:rFonts w:ascii="Times New Roman"/>
                <w:b w:val="false"/>
                <w:i w:val="false"/>
                <w:color w:val="000000"/>
                <w:sz w:val="20"/>
              </w:rPr>
              <w:t>
3,0 АЕК</w:t>
            </w:r>
          </w:p>
          <w:p>
            <w:pPr>
              <w:spacing w:after="20"/>
              <w:ind w:left="20"/>
              <w:jc w:val="both"/>
            </w:pPr>
            <w:r>
              <w:rPr>
                <w:rFonts w:ascii="Times New Roman"/>
                <w:b w:val="false"/>
                <w:i w:val="false"/>
                <w:color w:val="000000"/>
                <w:sz w:val="20"/>
              </w:rPr>
              <w:t>
0,4 АЕК</w:t>
            </w:r>
          </w:p>
          <w:p>
            <w:pPr>
              <w:spacing w:after="20"/>
              <w:ind w:left="20"/>
              <w:jc w:val="both"/>
            </w:pPr>
            <w:r>
              <w:rPr>
                <w:rFonts w:ascii="Times New Roman"/>
                <w:b w:val="false"/>
                <w:i w:val="false"/>
                <w:color w:val="000000"/>
                <w:sz w:val="20"/>
              </w:rPr>
              <w:t>
1,5 АЕК</w:t>
            </w:r>
          </w:p>
          <w:p>
            <w:pPr>
              <w:spacing w:after="20"/>
              <w:ind w:left="20"/>
              <w:jc w:val="both"/>
            </w:pPr>
            <w:r>
              <w:rPr>
                <w:rFonts w:ascii="Times New Roman"/>
                <w:b w:val="false"/>
                <w:i w:val="false"/>
                <w:color w:val="000000"/>
                <w:sz w:val="20"/>
              </w:rPr>
              <w:t>
2,5 АЕК</w:t>
            </w:r>
          </w:p>
          <w:p>
            <w:pPr>
              <w:spacing w:after="20"/>
              <w:ind w:left="20"/>
              <w:jc w:val="both"/>
            </w:pPr>
            <w:r>
              <w:rPr>
                <w:rFonts w:ascii="Times New Roman"/>
                <w:b w:val="false"/>
                <w:i w:val="false"/>
                <w:color w:val="000000"/>
                <w:sz w:val="20"/>
              </w:rPr>
              <w:t>
3,5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бір сағатқа ұсыну:</w:t>
            </w:r>
          </w:p>
          <w:p>
            <w:pPr>
              <w:spacing w:after="20"/>
              <w:ind w:left="20"/>
              <w:jc w:val="both"/>
            </w:pPr>
            <w:r>
              <w:rPr>
                <w:rFonts w:ascii="Times New Roman"/>
                <w:b w:val="false"/>
                <w:i w:val="false"/>
                <w:color w:val="000000"/>
                <w:sz w:val="20"/>
              </w:rPr>
              <w:t>
10 тоннаға дейінгі жүк а/м ......................................................</w:t>
            </w:r>
          </w:p>
          <w:p>
            <w:pPr>
              <w:spacing w:after="20"/>
              <w:ind w:left="20"/>
              <w:jc w:val="both"/>
            </w:pPr>
            <w:r>
              <w:rPr>
                <w:rFonts w:ascii="Times New Roman"/>
                <w:b w:val="false"/>
                <w:i w:val="false"/>
                <w:color w:val="000000"/>
                <w:sz w:val="20"/>
              </w:rPr>
              <w:t>
Ағаш отырғызуға арналған жүк а/м .......................................</w:t>
            </w:r>
          </w:p>
          <w:p>
            <w:pPr>
              <w:spacing w:after="20"/>
              <w:ind w:left="20"/>
              <w:jc w:val="both"/>
            </w:pPr>
            <w:r>
              <w:rPr>
                <w:rFonts w:ascii="Times New Roman"/>
                <w:b w:val="false"/>
                <w:i w:val="false"/>
                <w:color w:val="000000"/>
                <w:sz w:val="20"/>
              </w:rPr>
              <w:t>
Жүк көтергіш құрылығысы бар а/м .......................................</w:t>
            </w:r>
          </w:p>
          <w:p>
            <w:pPr>
              <w:spacing w:after="20"/>
              <w:ind w:left="20"/>
              <w:jc w:val="both"/>
            </w:pPr>
            <w:r>
              <w:rPr>
                <w:rFonts w:ascii="Times New Roman"/>
                <w:b w:val="false"/>
                <w:i w:val="false"/>
                <w:color w:val="000000"/>
                <w:sz w:val="20"/>
              </w:rPr>
              <w:t>
Су тасығыш жүк а/м.................................................................</w:t>
            </w:r>
          </w:p>
          <w:p>
            <w:pPr>
              <w:spacing w:after="20"/>
              <w:ind w:left="20"/>
              <w:jc w:val="both"/>
            </w:pPr>
            <w:r>
              <w:rPr>
                <w:rFonts w:ascii="Times New Roman"/>
                <w:b w:val="false"/>
                <w:i w:val="false"/>
                <w:color w:val="000000"/>
                <w:sz w:val="20"/>
              </w:rPr>
              <w:t>
Жолаушылар автобусы ...........................................................</w:t>
            </w:r>
          </w:p>
          <w:p>
            <w:pPr>
              <w:spacing w:after="20"/>
              <w:ind w:left="20"/>
              <w:jc w:val="both"/>
            </w:pPr>
            <w:r>
              <w:rPr>
                <w:rFonts w:ascii="Times New Roman"/>
                <w:b w:val="false"/>
                <w:i w:val="false"/>
                <w:color w:val="000000"/>
                <w:sz w:val="20"/>
              </w:rPr>
              <w:t>
Жолаушылар шағын автобусы ...............................................</w:t>
            </w:r>
          </w:p>
          <w:p>
            <w:pPr>
              <w:spacing w:after="20"/>
              <w:ind w:left="20"/>
              <w:jc w:val="both"/>
            </w:pPr>
            <w:r>
              <w:rPr>
                <w:rFonts w:ascii="Times New Roman"/>
                <w:b w:val="false"/>
                <w:i w:val="false"/>
                <w:color w:val="000000"/>
                <w:sz w:val="20"/>
              </w:rPr>
              <w:t>
700 кг дейінгі бортты а/м ........................................................</w:t>
            </w:r>
          </w:p>
          <w:p>
            <w:pPr>
              <w:spacing w:after="20"/>
              <w:ind w:left="20"/>
              <w:jc w:val="both"/>
            </w:pPr>
            <w:r>
              <w:rPr>
                <w:rFonts w:ascii="Times New Roman"/>
                <w:b w:val="false"/>
                <w:i w:val="false"/>
                <w:color w:val="000000"/>
                <w:sz w:val="20"/>
              </w:rPr>
              <w:t>
Қоқыстасығыш.........................................................................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2,94 АЕК</w:t>
            </w:r>
          </w:p>
          <w:p>
            <w:pPr>
              <w:spacing w:after="20"/>
              <w:ind w:left="20"/>
              <w:jc w:val="both"/>
            </w:pPr>
            <w:r>
              <w:rPr>
                <w:rFonts w:ascii="Times New Roman"/>
                <w:b w:val="false"/>
                <w:i w:val="false"/>
                <w:color w:val="000000"/>
                <w:sz w:val="20"/>
              </w:rPr>
              <w:t>
6,35 АЕК</w:t>
            </w:r>
          </w:p>
          <w:p>
            <w:pPr>
              <w:spacing w:after="20"/>
              <w:ind w:left="20"/>
              <w:jc w:val="both"/>
            </w:pPr>
            <w:r>
              <w:rPr>
                <w:rFonts w:ascii="Times New Roman"/>
                <w:b w:val="false"/>
                <w:i w:val="false"/>
                <w:color w:val="000000"/>
                <w:sz w:val="20"/>
              </w:rPr>
              <w:t>
5,66 АЕК</w:t>
            </w:r>
          </w:p>
          <w:p>
            <w:pPr>
              <w:spacing w:after="20"/>
              <w:ind w:left="20"/>
              <w:jc w:val="both"/>
            </w:pPr>
            <w:r>
              <w:rPr>
                <w:rFonts w:ascii="Times New Roman"/>
                <w:b w:val="false"/>
                <w:i w:val="false"/>
                <w:color w:val="000000"/>
                <w:sz w:val="20"/>
              </w:rPr>
              <w:t>
2,27 АЕК</w:t>
            </w:r>
          </w:p>
          <w:p>
            <w:pPr>
              <w:spacing w:after="20"/>
              <w:ind w:left="20"/>
              <w:jc w:val="both"/>
            </w:pPr>
            <w:r>
              <w:rPr>
                <w:rFonts w:ascii="Times New Roman"/>
                <w:b w:val="false"/>
                <w:i w:val="false"/>
                <w:color w:val="000000"/>
                <w:sz w:val="20"/>
              </w:rPr>
              <w:t>
1,38 АЕК</w:t>
            </w:r>
          </w:p>
          <w:p>
            <w:pPr>
              <w:spacing w:after="20"/>
              <w:ind w:left="20"/>
              <w:jc w:val="both"/>
            </w:pPr>
            <w:r>
              <w:rPr>
                <w:rFonts w:ascii="Times New Roman"/>
                <w:b w:val="false"/>
                <w:i w:val="false"/>
                <w:color w:val="000000"/>
                <w:sz w:val="20"/>
              </w:rPr>
              <w:t>
1,56 АЕК</w:t>
            </w:r>
          </w:p>
          <w:p>
            <w:pPr>
              <w:spacing w:after="20"/>
              <w:ind w:left="20"/>
              <w:jc w:val="both"/>
            </w:pPr>
            <w:r>
              <w:rPr>
                <w:rFonts w:ascii="Times New Roman"/>
                <w:b w:val="false"/>
                <w:i w:val="false"/>
                <w:color w:val="000000"/>
                <w:sz w:val="20"/>
              </w:rPr>
              <w:t>
1,5 АЕК</w:t>
            </w:r>
          </w:p>
          <w:p>
            <w:pPr>
              <w:spacing w:after="20"/>
              <w:ind w:left="20"/>
              <w:jc w:val="both"/>
            </w:pPr>
            <w:r>
              <w:rPr>
                <w:rFonts w:ascii="Times New Roman"/>
                <w:b w:val="false"/>
                <w:i w:val="false"/>
                <w:color w:val="000000"/>
                <w:sz w:val="20"/>
              </w:rPr>
              <w:t>
1,47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p>
            <w:pPr>
              <w:spacing w:after="20"/>
              <w:ind w:left="20"/>
              <w:jc w:val="both"/>
            </w:pPr>
            <w:r>
              <w:rPr>
                <w:rFonts w:ascii="Times New Roman"/>
                <w:b w:val="false"/>
                <w:i w:val="false"/>
                <w:color w:val="000000"/>
                <w:sz w:val="20"/>
              </w:rPr>
              <w:t>
Жүк тиегіш................................................................................</w:t>
            </w:r>
          </w:p>
          <w:p>
            <w:pPr>
              <w:spacing w:after="20"/>
              <w:ind w:left="20"/>
              <w:jc w:val="both"/>
            </w:pPr>
            <w:r>
              <w:rPr>
                <w:rFonts w:ascii="Times New Roman"/>
                <w:b w:val="false"/>
                <w:i w:val="false"/>
                <w:color w:val="000000"/>
                <w:sz w:val="20"/>
              </w:rPr>
              <w:t>
Тартқыш.....................................................................................</w:t>
            </w:r>
          </w:p>
          <w:p>
            <w:pPr>
              <w:spacing w:after="20"/>
              <w:ind w:left="20"/>
              <w:jc w:val="both"/>
            </w:pPr>
            <w:r>
              <w:rPr>
                <w:rFonts w:ascii="Times New Roman"/>
                <w:b w:val="false"/>
                <w:i w:val="false"/>
                <w:color w:val="000000"/>
                <w:sz w:val="20"/>
              </w:rPr>
              <w:t>
Сүргіш........................................................................................</w:t>
            </w:r>
          </w:p>
          <w:p>
            <w:pPr>
              <w:spacing w:after="20"/>
              <w:ind w:left="20"/>
              <w:jc w:val="both"/>
            </w:pPr>
            <w:r>
              <w:rPr>
                <w:rFonts w:ascii="Times New Roman"/>
                <w:b w:val="false"/>
                <w:i w:val="false"/>
                <w:color w:val="000000"/>
                <w:sz w:val="20"/>
              </w:rPr>
              <w:t>
Экскаватор………………………………….............................</w:t>
            </w:r>
          </w:p>
          <w:p>
            <w:pPr>
              <w:spacing w:after="20"/>
              <w:ind w:left="20"/>
              <w:jc w:val="both"/>
            </w:pPr>
            <w:r>
              <w:rPr>
                <w:rFonts w:ascii="Times New Roman"/>
                <w:b w:val="false"/>
                <w:i w:val="false"/>
                <w:color w:val="000000"/>
                <w:sz w:val="20"/>
              </w:rPr>
              <w:t>
Автогрейдер..………………………………….........................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2,84 АЕК</w:t>
            </w:r>
          </w:p>
          <w:p>
            <w:pPr>
              <w:spacing w:after="20"/>
              <w:ind w:left="20"/>
              <w:jc w:val="both"/>
            </w:pPr>
            <w:r>
              <w:rPr>
                <w:rFonts w:ascii="Times New Roman"/>
                <w:b w:val="false"/>
                <w:i w:val="false"/>
                <w:color w:val="000000"/>
                <w:sz w:val="20"/>
              </w:rPr>
              <w:t>
5,07 АЕК</w:t>
            </w:r>
          </w:p>
          <w:p>
            <w:pPr>
              <w:spacing w:after="20"/>
              <w:ind w:left="20"/>
              <w:jc w:val="both"/>
            </w:pPr>
            <w:r>
              <w:rPr>
                <w:rFonts w:ascii="Times New Roman"/>
                <w:b w:val="false"/>
                <w:i w:val="false"/>
                <w:color w:val="000000"/>
                <w:sz w:val="20"/>
              </w:rPr>
              <w:t>
3,06 АЕК</w:t>
            </w:r>
          </w:p>
          <w:p>
            <w:pPr>
              <w:spacing w:after="20"/>
              <w:ind w:left="20"/>
              <w:jc w:val="both"/>
            </w:pPr>
            <w:r>
              <w:rPr>
                <w:rFonts w:ascii="Times New Roman"/>
                <w:b w:val="false"/>
                <w:i w:val="false"/>
                <w:color w:val="000000"/>
                <w:sz w:val="20"/>
              </w:rPr>
              <w:t>
5,22 АЕК</w:t>
            </w:r>
          </w:p>
          <w:p>
            <w:pPr>
              <w:spacing w:after="20"/>
              <w:ind w:left="20"/>
              <w:jc w:val="both"/>
            </w:pPr>
            <w:r>
              <w:rPr>
                <w:rFonts w:ascii="Times New Roman"/>
                <w:b w:val="false"/>
                <w:i w:val="false"/>
                <w:color w:val="000000"/>
                <w:sz w:val="20"/>
              </w:rPr>
              <w:t>
6,01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 туристік базаларды және басқа да мәдени-тұрмыстық мақсаттағы объектілерді орналастыру үшін орындарды (жер учаскелерін) беру (ұзақ мерзімді пайдалану туралы шарттар бойынша) ***</w:t>
            </w:r>
          </w:p>
          <w:p>
            <w:pPr>
              <w:spacing w:after="20"/>
              <w:ind w:left="20"/>
              <w:jc w:val="both"/>
            </w:pPr>
            <w:r>
              <w:rPr>
                <w:rFonts w:ascii="Times New Roman"/>
                <w:b w:val="false"/>
                <w:i w:val="false"/>
                <w:color w:val="000000"/>
                <w:sz w:val="20"/>
              </w:rPr>
              <w:t>
0,2 гектарға дейін</w:t>
            </w:r>
          </w:p>
          <w:p>
            <w:pPr>
              <w:spacing w:after="20"/>
              <w:ind w:left="20"/>
              <w:jc w:val="both"/>
            </w:pPr>
            <w:r>
              <w:rPr>
                <w:rFonts w:ascii="Times New Roman"/>
                <w:b w:val="false"/>
                <w:i w:val="false"/>
                <w:color w:val="000000"/>
                <w:sz w:val="20"/>
              </w:rPr>
              <w:t>
0,21 гектардан бастап 0,5 гектарға дейін</w:t>
            </w:r>
          </w:p>
          <w:p>
            <w:pPr>
              <w:spacing w:after="20"/>
              <w:ind w:left="20"/>
              <w:jc w:val="both"/>
            </w:pPr>
            <w:r>
              <w:rPr>
                <w:rFonts w:ascii="Times New Roman"/>
                <w:b w:val="false"/>
                <w:i w:val="false"/>
                <w:color w:val="000000"/>
                <w:sz w:val="20"/>
              </w:rPr>
              <w:t>
0,51 гектардан бастап 1 гектарға дейін</w:t>
            </w:r>
          </w:p>
          <w:p>
            <w:pPr>
              <w:spacing w:after="20"/>
              <w:ind w:left="20"/>
              <w:jc w:val="both"/>
            </w:pPr>
            <w:r>
              <w:rPr>
                <w:rFonts w:ascii="Times New Roman"/>
                <w:b w:val="false"/>
                <w:i w:val="false"/>
                <w:color w:val="000000"/>
                <w:sz w:val="20"/>
              </w:rPr>
              <w:t>
1,1 гектардан бастап 5 гектарға дейін</w:t>
            </w:r>
          </w:p>
          <w:p>
            <w:pPr>
              <w:spacing w:after="20"/>
              <w:ind w:left="20"/>
              <w:jc w:val="both"/>
            </w:pPr>
            <w:r>
              <w:rPr>
                <w:rFonts w:ascii="Times New Roman"/>
                <w:b w:val="false"/>
                <w:i w:val="false"/>
                <w:color w:val="000000"/>
                <w:sz w:val="20"/>
              </w:rPr>
              <w:t>
5,1 гектардан бастап 10 гектарға дейін</w:t>
            </w:r>
          </w:p>
          <w:p>
            <w:pPr>
              <w:spacing w:after="20"/>
              <w:ind w:left="20"/>
              <w:jc w:val="both"/>
            </w:pPr>
            <w:r>
              <w:rPr>
                <w:rFonts w:ascii="Times New Roman"/>
                <w:b w:val="false"/>
                <w:i w:val="false"/>
                <w:color w:val="000000"/>
                <w:sz w:val="20"/>
              </w:rPr>
              <w:t>
10,1 га гектардан бастап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АЕК</w:t>
            </w:r>
          </w:p>
          <w:p>
            <w:pPr>
              <w:spacing w:after="20"/>
              <w:ind w:left="20"/>
              <w:jc w:val="both"/>
            </w:pPr>
            <w:r>
              <w:rPr>
                <w:rFonts w:ascii="Times New Roman"/>
                <w:b w:val="false"/>
                <w:i w:val="false"/>
                <w:color w:val="000000"/>
                <w:sz w:val="20"/>
              </w:rPr>
              <w:t>
28,75 АЕК</w:t>
            </w:r>
          </w:p>
          <w:p>
            <w:pPr>
              <w:spacing w:after="20"/>
              <w:ind w:left="20"/>
              <w:jc w:val="both"/>
            </w:pPr>
            <w:r>
              <w:rPr>
                <w:rFonts w:ascii="Times New Roman"/>
                <w:b w:val="false"/>
                <w:i w:val="false"/>
                <w:color w:val="000000"/>
                <w:sz w:val="20"/>
              </w:rPr>
              <w:t>
30,12 АЕК</w:t>
            </w:r>
          </w:p>
          <w:p>
            <w:pPr>
              <w:spacing w:after="20"/>
              <w:ind w:left="20"/>
              <w:jc w:val="both"/>
            </w:pPr>
            <w:r>
              <w:rPr>
                <w:rFonts w:ascii="Times New Roman"/>
                <w:b w:val="false"/>
                <w:i w:val="false"/>
                <w:color w:val="000000"/>
                <w:sz w:val="20"/>
              </w:rPr>
              <w:t>
31,49 АЕК</w:t>
            </w:r>
          </w:p>
          <w:p>
            <w:pPr>
              <w:spacing w:after="20"/>
              <w:ind w:left="20"/>
              <w:jc w:val="both"/>
            </w:pPr>
            <w:r>
              <w:rPr>
                <w:rFonts w:ascii="Times New Roman"/>
                <w:b w:val="false"/>
                <w:i w:val="false"/>
                <w:color w:val="000000"/>
                <w:sz w:val="20"/>
              </w:rPr>
              <w:t>
32,86 АЕК</w:t>
            </w:r>
          </w:p>
          <w:p>
            <w:pPr>
              <w:spacing w:after="20"/>
              <w:ind w:left="20"/>
              <w:jc w:val="both"/>
            </w:pPr>
          </w:p>
          <w:p>
            <w:pPr>
              <w:spacing w:after="20"/>
              <w:ind w:left="20"/>
              <w:jc w:val="both"/>
            </w:pPr>
            <w:r>
              <w:rPr>
                <w:rFonts w:ascii="Times New Roman"/>
                <w:b w:val="false"/>
                <w:i w:val="false"/>
                <w:color w:val="000000"/>
                <w:sz w:val="20"/>
              </w:rPr>
              <w:t>
34,22 АЕК</w:t>
            </w:r>
          </w:p>
        </w:tc>
      </w:tr>
    </w:tbl>
    <w:bookmarkStart w:name="z10"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 7, 8, 9-тармақтарда көрсетілген қызметтер үшін: зейнеткерлерге, мүгедектігі бар адамдарға, Ұлы Отан соғысының ардагерлеріне, басқа мемлекеттер аумағындағы әскери қимылдарының ардагерлеріне, жеңілдіктері бойынша Ұлы Отан соғысының ардагерлеріне, теңестірілген ардагерлерге, еңбек ардагерлеріне, 18 жасқа дейінгі балаларға (9-тармақтан басқа), "Алтын алқа" және "Күміс алқа" алқаларымен наградталған немесе бұрын "Батыр ана" атағын алған, I және II дәрежелі "Ана даңқы" ордендерімен наградталған көп балалы аналарға және олардың отбасы мүшелеріне 50% жеңілдік көзделеді;</w:t>
      </w:r>
    </w:p>
    <w:p>
      <w:pPr>
        <w:spacing w:after="0"/>
        <w:ind w:left="0"/>
        <w:jc w:val="both"/>
      </w:pPr>
      <w:r>
        <w:rPr>
          <w:rFonts w:ascii="Times New Roman"/>
          <w:b w:val="false"/>
          <w:i w:val="false"/>
          <w:color w:val="000000"/>
          <w:sz w:val="28"/>
        </w:rPr>
        <w:t>
      ** 11-тармақта көрсетілген қызметтер үшін табиғат қорғау мекемесінің аумағына кіргені үшін төлемақыдан босатылады:</w:t>
      </w:r>
    </w:p>
    <w:p>
      <w:pPr>
        <w:spacing w:after="0"/>
        <w:ind w:left="0"/>
        <w:jc w:val="both"/>
      </w:pPr>
      <w:r>
        <w:rPr>
          <w:rFonts w:ascii="Times New Roman"/>
          <w:b w:val="false"/>
          <w:i w:val="false"/>
          <w:color w:val="000000"/>
          <w:sz w:val="28"/>
        </w:rPr>
        <w:t>
      - ұлттық парк пен оның күзет аймағының шекараларында тұратын тұрғындардың автокөлік құралдары (осы аумақта тіркелген);</w:t>
      </w:r>
    </w:p>
    <w:p>
      <w:pPr>
        <w:spacing w:after="0"/>
        <w:ind w:left="0"/>
        <w:jc w:val="both"/>
      </w:pPr>
      <w:r>
        <w:rPr>
          <w:rFonts w:ascii="Times New Roman"/>
          <w:b w:val="false"/>
          <w:i w:val="false"/>
          <w:color w:val="000000"/>
          <w:sz w:val="28"/>
        </w:rPr>
        <w:t>
      - зейнеткерлер, мүгедектер, Ұлы Отан соғысының ардагерлері, басқа мемлекеттердің аумағындағы соғыс қимылдарының ардагерлері, Ұлы Отан соғысы ардагерлеріне жеңілдіктер бойынша теңестірілген ардагерлер, еңбек ардагерлердің автокөлік құралдары;</w:t>
      </w:r>
    </w:p>
    <w:p>
      <w:pPr>
        <w:spacing w:after="0"/>
        <w:ind w:left="0"/>
        <w:jc w:val="both"/>
      </w:pPr>
      <w:r>
        <w:rPr>
          <w:rFonts w:ascii="Times New Roman"/>
          <w:b w:val="false"/>
          <w:i w:val="false"/>
          <w:color w:val="000000"/>
          <w:sz w:val="28"/>
        </w:rPr>
        <w:t>
      - қызметтік міндеттерін орындау кезіндегі арнайы автокөлік құралдары: жедел медициналық жәрдем қызметтері, авариялық-құтқару қызметтері, құқық қорғау органдары, көліктік бақылау органдары, арнаулы мемлекеттік органдар, Қазақстан Республикасының Қарулы Күштері, басқа да әскерлер мен әскери құрылымдар, жалпы пайдаланымдағы халықаралық және республикалық маңызы бар ақылы автомобиль жолдарын (учаскелерді) ұстауды және күтіп ұстауды тікелей жүзеге асыратын ұлттық оператор, жануарлар дүниесiн қорғау, өсiмiн молайту және пайдалану саласындағы уәкiлеттi орган, мамандандырылған табиғат қорғау прокуратурасы;</w:t>
      </w:r>
    </w:p>
    <w:p>
      <w:pPr>
        <w:spacing w:after="0"/>
        <w:ind w:left="0"/>
        <w:jc w:val="both"/>
      </w:pPr>
      <w:r>
        <w:rPr>
          <w:rFonts w:ascii="Times New Roman"/>
          <w:b w:val="false"/>
          <w:i w:val="false"/>
          <w:color w:val="000000"/>
          <w:sz w:val="28"/>
        </w:rPr>
        <w:t>
      - елдi мекендердi: кенттерді, аудан немесе аудан орталықтарымен ауылдарды байланыстыратын қала маңындағы қызметтер мен коммуникацияларда жолаушыларды және багажды, астананың немесе республикалық маңызы бар қалалардың, оның ішінде бір аудан шегінде орын ауыстыру үшін тұрақты тасымалдауды жүзеге асыратын автобустар;</w:t>
      </w:r>
    </w:p>
    <w:p>
      <w:pPr>
        <w:spacing w:after="0"/>
        <w:ind w:left="0"/>
        <w:jc w:val="both"/>
      </w:pPr>
      <w:r>
        <w:rPr>
          <w:rFonts w:ascii="Times New Roman"/>
          <w:b w:val="false"/>
          <w:i w:val="false"/>
          <w:color w:val="000000"/>
          <w:sz w:val="28"/>
        </w:rPr>
        <w:t>
      - жүк автокөлік құралдары, өздігінен жүретін дөңгелекті ауыл шаруашылығы, мелиорациялық мәшинелер, сондай-ақ электромобильдер;</w:t>
      </w:r>
    </w:p>
    <w:p>
      <w:pPr>
        <w:spacing w:after="0"/>
        <w:ind w:left="0"/>
        <w:jc w:val="both"/>
      </w:pPr>
      <w:r>
        <w:rPr>
          <w:rFonts w:ascii="Times New Roman"/>
          <w:b w:val="false"/>
          <w:i w:val="false"/>
          <w:color w:val="000000"/>
          <w:sz w:val="28"/>
        </w:rPr>
        <w:t>
      ***13-тармақта көрсетілген қызметтер үшін орталық мемлекеттік және жергілікті атқарушы органдардың, сондай-ақ олардың аумақтық бөлімшелерінің қарамағындағы ұйымдар төлемақыдан босатылады.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