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4d88" w14:textId="c524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активтердің аударымдарын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м.а. 2024 жылғы 30 қазандағы № 5 бұйрығы. Қазақстан Республикасының Әділет министрлігінде 2024 жылғы 31 қазанда № 35311 болып тіркелді. Күші жойылды - Қазақстан Республикасы Қаржылық мониторинг агенттігі Төрағасының 2026 жылғы 9 сәуірдегі № 5 бұйрығымен.</w:t>
      </w:r>
    </w:p>
    <w:p>
      <w:pPr>
        <w:spacing w:after="0"/>
        <w:ind w:left="0"/>
        <w:jc w:val="both"/>
      </w:pPr>
      <w:r>
        <w:rPr>
          <w:rFonts w:ascii="Times New Roman"/>
          <w:b w:val="false"/>
          <w:i w:val="false"/>
          <w:color w:val="ff0000"/>
          <w:sz w:val="28"/>
        </w:rPr>
        <w:t xml:space="preserve">
      Ескерту. Бұйрықтың күші жойылды - ҚР Қаржылық мониторинг агенттігі Төрағасының 09.04.2026 </w:t>
      </w:r>
      <w:r>
        <w:rPr>
          <w:rFonts w:ascii="Times New Roman"/>
          <w:b w:val="false"/>
          <w:i w:val="false"/>
          <w:color w:val="ff0000"/>
          <w:sz w:val="28"/>
        </w:rPr>
        <w:t>№ 5</w:t>
      </w:r>
      <w:r>
        <w:rPr>
          <w:rFonts w:ascii="Times New Roman"/>
          <w:b w:val="false"/>
          <w:i w:val="false"/>
          <w:color w:val="ff0000"/>
          <w:sz w:val="28"/>
        </w:rPr>
        <w:t xml:space="preserve"> (01.05.2026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13-9)-тармақшасына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Қамтамасыз етілген цифрлық активтердің аударымдарын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бекітілісін.</w:t>
      </w:r>
    </w:p>
    <w:bookmarkEnd w:id="1"/>
    <w:bookmarkStart w:name="z3" w:id="2"/>
    <w:p>
      <w:pPr>
        <w:spacing w:after="0"/>
        <w:ind w:left="0"/>
        <w:jc w:val="both"/>
      </w:pPr>
      <w:r>
        <w:rPr>
          <w:rFonts w:ascii="Times New Roman"/>
          <w:b w:val="false"/>
          <w:i w:val="false"/>
          <w:color w:val="000000"/>
          <w:sz w:val="28"/>
        </w:rPr>
        <w:t>
      2. Қазақстан Республикасы Қаржылық мониторинг агенттігінің Жедел талдау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Қаржылық мониторинг агенттігі төрағасының бірінші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 </w:t>
            </w: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қазандағы</w:t>
            </w:r>
            <w:r>
              <w:br/>
            </w:r>
            <w:r>
              <w:rPr>
                <w:rFonts w:ascii="Times New Roman"/>
                <w:b w:val="false"/>
                <w:i w:val="false"/>
                <w:color w:val="000000"/>
                <w:sz w:val="20"/>
              </w:rPr>
              <w:t xml:space="preserve">№ 5 бұйрығымен </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Қамтамасыз етілген цифрлық активтердің аударымдарын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Қамтамасыз етілген цифрлық активтердің аударымдарын жүзеге асыру қағидалары (бұдан әрі – Қағидалар)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w:t>
      </w:r>
      <w:r>
        <w:rPr>
          <w:rFonts w:ascii="Times New Roman"/>
          <w:b w:val="false"/>
          <w:i w:val="false"/>
          <w:color w:val="000000"/>
          <w:sz w:val="28"/>
        </w:rPr>
        <w:t>16-бабының</w:t>
      </w:r>
      <w:r>
        <w:rPr>
          <w:rFonts w:ascii="Times New Roman"/>
          <w:b w:val="false"/>
          <w:i w:val="false"/>
          <w:color w:val="000000"/>
          <w:sz w:val="28"/>
        </w:rPr>
        <w:t xml:space="preserve"> 13-9)-тармақшасына сәйкес әзірленді және КЖ/ТҚ/ЖҚҚТҚҚ туралы Заңда белгіленген талаптарды ескере отырып, қамтамасыз етілген цифрлық активтерді шығаруды және олардың айналысын жүзеге асыратын тұлғаның қамтамасыз етілген цифрлық активтердің аударымдарын жүзеге асыруы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Қамтамасыз етілген цифрлық активтердің айналыcын жүзеге асыру тәртібі</w:t>
      </w:r>
    </w:p>
    <w:bookmarkEnd w:id="10"/>
    <w:bookmarkStart w:name="z13" w:id="11"/>
    <w:p>
      <w:pPr>
        <w:spacing w:after="0"/>
        <w:ind w:left="0"/>
        <w:jc w:val="both"/>
      </w:pPr>
      <w:r>
        <w:rPr>
          <w:rFonts w:ascii="Times New Roman"/>
          <w:b w:val="false"/>
          <w:i w:val="false"/>
          <w:color w:val="000000"/>
          <w:sz w:val="28"/>
        </w:rPr>
        <w:t>
      2. Қамтамасыз етілген цифрлық активтерді шығаруды және олардың айналысын жүзеге асыратын тұлға (бұдан әрі – Тұлға) қамтамасыз етілген цифрлық активтерді сақтау және айырбастау жөніндегі цифрлық платформаны пайдалануды жүзеге асыратын және қамтамасыз етілген цифрлық активтерді шығаруға және олардың айналысына рұқсаты бар Қазақстан Республикасының заңды тұлғасы, дара кәсіпкер болып табылады.</w:t>
      </w:r>
    </w:p>
    <w:bookmarkEnd w:id="11"/>
    <w:bookmarkStart w:name="z14" w:id="12"/>
    <w:p>
      <w:pPr>
        <w:spacing w:after="0"/>
        <w:ind w:left="0"/>
        <w:jc w:val="both"/>
      </w:pPr>
      <w:r>
        <w:rPr>
          <w:rFonts w:ascii="Times New Roman"/>
          <w:b w:val="false"/>
          <w:i w:val="false"/>
          <w:color w:val="000000"/>
          <w:sz w:val="28"/>
        </w:rPr>
        <w:t xml:space="preserve">
      3. Цифрлық активтер саласындағы уәкілетті орган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етілген цифрлық активтерді шығару және олардың айналысы жөніндегі қызметті жүзеге асыруға арналған рұқсатты береді.</w:t>
      </w:r>
    </w:p>
    <w:bookmarkEnd w:id="12"/>
    <w:bookmarkStart w:name="z15" w:id="13"/>
    <w:p>
      <w:pPr>
        <w:spacing w:after="0"/>
        <w:ind w:left="0"/>
        <w:jc w:val="both"/>
      </w:pPr>
      <w:r>
        <w:rPr>
          <w:rFonts w:ascii="Times New Roman"/>
          <w:b w:val="false"/>
          <w:i w:val="false"/>
          <w:color w:val="000000"/>
          <w:sz w:val="28"/>
        </w:rPr>
        <w:t>
      4. Қамтамасыз етілген цифрлық активтерді аудару ақпараттық жүйе қолданушылары арасындағы келісімге сәйкес мәліметтерді ақпарттық жүйеге енгізу жолымен цифрлық активтерді ақшаға және өзге де мүлікке иеліктен шығару, сатып алу, айырбастауды қоса алғанда, қамтамасыз етілген цифрлық активтерге құқықтарды куәландыру және олардың ауысуы арқылы жүзеге асырылады.</w:t>
      </w:r>
    </w:p>
    <w:bookmarkEnd w:id="13"/>
    <w:bookmarkStart w:name="z16" w:id="14"/>
    <w:p>
      <w:pPr>
        <w:spacing w:after="0"/>
        <w:ind w:left="0"/>
        <w:jc w:val="both"/>
      </w:pPr>
      <w:r>
        <w:rPr>
          <w:rFonts w:ascii="Times New Roman"/>
          <w:b w:val="false"/>
          <w:i w:val="false"/>
          <w:color w:val="000000"/>
          <w:sz w:val="28"/>
        </w:rPr>
        <w:t xml:space="preserve">
      5. Тұлға клиенттің (оның өкілінің) және бенефициарлық меншік иесінің атынан қамтамасыз етілген цифрлық активтерді жөнелту немесе алу кезінде аударымның және онымен байланысты кез келген хабарламаның жөнелтуші және алушы туралы нақты ақпаратты қамтитынына көз жеткізеді және КЖ/ТҚ/ЖҚҚТҚҚ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шаралар қабылдайды.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6. Тұлға КЖ/ТҚ/ЖҚҚТҚҚ туралы Заңның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 баптарына</w:t>
      </w:r>
      <w:r>
        <w:rPr>
          <w:rFonts w:ascii="Times New Roman"/>
          <w:b w:val="false"/>
          <w:i w:val="false"/>
          <w:color w:val="000000"/>
          <w:sz w:val="28"/>
        </w:rPr>
        <w:t xml:space="preserve"> сәйкес белгіленген шекті мәндерден асатын операцияларды мониторингтеу, айқындау және хабарлау, күдікті әрекеттерді анықтау үшін бақылау рәсімдерін, жүйелері мен құралдарын құрайды және қолдайды.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Тұлға қамтамасыз етілген цифрлық активтердің барлық аударымдарымен бірге ілесіп жүретін ақпараттың:</w:t>
      </w:r>
    </w:p>
    <w:bookmarkEnd w:id="16"/>
    <w:bookmarkStart w:name="z19" w:id="17"/>
    <w:p>
      <w:pPr>
        <w:spacing w:after="0"/>
        <w:ind w:left="0"/>
        <w:jc w:val="both"/>
      </w:pPr>
      <w:r>
        <w:rPr>
          <w:rFonts w:ascii="Times New Roman"/>
          <w:b w:val="false"/>
          <w:i w:val="false"/>
          <w:color w:val="000000"/>
          <w:sz w:val="28"/>
        </w:rPr>
        <w:t xml:space="preserve">
      1) КЖ/ТҚ/ЖҚҚТҚҚ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жөнелтушінің (оның өкілінің) және алушының деректерін;</w:t>
      </w:r>
    </w:p>
    <w:bookmarkEnd w:id="17"/>
    <w:bookmarkStart w:name="z20" w:id="18"/>
    <w:p>
      <w:pPr>
        <w:spacing w:after="0"/>
        <w:ind w:left="0"/>
        <w:jc w:val="both"/>
      </w:pPr>
      <w:r>
        <w:rPr>
          <w:rFonts w:ascii="Times New Roman"/>
          <w:b w:val="false"/>
          <w:i w:val="false"/>
          <w:color w:val="000000"/>
          <w:sz w:val="28"/>
        </w:rPr>
        <w:t>
      2) жөнелтушінің/алушының банктік шотының нөмірін (бар болса);</w:t>
      </w:r>
    </w:p>
    <w:bookmarkEnd w:id="18"/>
    <w:bookmarkStart w:name="z21" w:id="19"/>
    <w:p>
      <w:pPr>
        <w:spacing w:after="0"/>
        <w:ind w:left="0"/>
        <w:jc w:val="both"/>
      </w:pPr>
      <w:r>
        <w:rPr>
          <w:rFonts w:ascii="Times New Roman"/>
          <w:b w:val="false"/>
          <w:i w:val="false"/>
          <w:color w:val="000000"/>
          <w:sz w:val="28"/>
        </w:rPr>
        <w:t>
      3) жөнелтушінің/алушының мекен-жайын;</w:t>
      </w:r>
    </w:p>
    <w:bookmarkEnd w:id="19"/>
    <w:bookmarkStart w:name="z22" w:id="20"/>
    <w:p>
      <w:pPr>
        <w:spacing w:after="0"/>
        <w:ind w:left="0"/>
        <w:jc w:val="both"/>
      </w:pPr>
      <w:r>
        <w:rPr>
          <w:rFonts w:ascii="Times New Roman"/>
          <w:b w:val="false"/>
          <w:i w:val="false"/>
          <w:color w:val="000000"/>
          <w:sz w:val="28"/>
        </w:rPr>
        <w:t>
      4) жөнелтушінің және алушының сәйкестендіру нөмірін қамтуы үшін шаралар қабылдайды;</w:t>
      </w:r>
    </w:p>
    <w:bookmarkEnd w:id="20"/>
    <w:bookmarkStart w:name="z23" w:id="21"/>
    <w:p>
      <w:pPr>
        <w:spacing w:after="0"/>
        <w:ind w:left="0"/>
        <w:jc w:val="both"/>
      </w:pPr>
      <w:r>
        <w:rPr>
          <w:rFonts w:ascii="Times New Roman"/>
          <w:b w:val="false"/>
          <w:i w:val="false"/>
          <w:color w:val="000000"/>
          <w:sz w:val="28"/>
        </w:rPr>
        <w:t>
      5) шот болмаған жағдайда операция нөмірі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8. Тұлға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бағалау, мониторингтеу, соның ішінде оларды барынша азайту бойынша (клиенттердің қызметтеріне (өнімдеріне), сондай-ақ клиенттер жасайтын операцияларға қатысты) рәсімдерді әзірлейді.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9. Тұлға басшылық қызметкерлер қатарынан немесе тиісті құрылымдық бөлімше басшысының деңгейінен төмен емес өзге де басшылар қатарынан ішкі бақылау қағидаларын іске асыруға және сақтауға жауапты тұлғаны тағайындау туралы талапты, сонымен қатар ішкі бақылау қағидаларын іске асыруға және сақтауға жауапты қаржы мониторингі субъектілеріне қойылатын өзге де талаптарды, соның ішінде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3-тармағына сәйкес мінсіз іскерлік беделдің болуы туралы талапты орындайды.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10. Тұлға қамтамасыз етілген цифрлық активтердің аударымдарына қатысты мәліметтер мен ақпаратты қаржылық мониторинг бойынша уәкілетті органға Қазақстан Республикасының Қаржылық мониторинг агенттігі төрағасының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(Қазақстан Республикасының Әділет министрлігінде № 26924 болып тіркелді) сәйкес электрондық әдіспен жолдайды.</w:t>
      </w:r>
    </w:p>
    <w:bookmarkEnd w:id="24"/>
    <w:bookmarkStart w:name="z27" w:id="25"/>
    <w:p>
      <w:pPr>
        <w:spacing w:after="0"/>
        <w:ind w:left="0"/>
        <w:jc w:val="both"/>
      </w:pPr>
      <w:r>
        <w:rPr>
          <w:rFonts w:ascii="Times New Roman"/>
          <w:b w:val="false"/>
          <w:i w:val="false"/>
          <w:color w:val="000000"/>
          <w:sz w:val="28"/>
        </w:rPr>
        <w:t xml:space="preserve">
      11. Тұлға құжаттардың көшірмесін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клиентпен (оның өкілімен) және бенефициарлық меншік иесімен іскерлік қатынастарды тоқтатқан күннен бастап бес жыл бойы сақтайды.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Қаржылық мониторинг агенттігі Төрағасының 11.12.2025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