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a282" w14:textId="3e4a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23 қазандағы № 188 және Қазақстан Республикасы Премьер-Министрінің орынбасары - Ұлттық экономика министрінің 2024 жылғы 24 қазандағы № 95 бірлескен бұйрығы. Қазақстан Республикасының Әділет министрлігінде 2024 жылы 30 қазанда № 35305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14313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ойын бизнесі туралы заңнамасын сақтаудың тәуекел дәрежесін бағалау өлшемшарттарына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заңнамамен белгіленген тәртіппен:</w:t>
      </w:r>
    </w:p>
    <w:bookmarkEnd w:id="2"/>
    <w:bookmarkStart w:name="z6"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5"/>
    <w:bookmarkStart w:name="z9"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10" w:id="7"/>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Бару арқылы профилактикалық бақылау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казинодағы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пайызына қатысты талаптарды сақтамау тоқсан бес пайыздан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залда кемінде алпыс ойын автоматын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Ойын автоматтары залдарындағы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тұрғыда тоқсан бес пайыздан төмен емес орналастырылған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және құмар ойындарға және (немесе) бәс тігуге қатысуға шектелген адамдардың құмар ойындарға қатысуына, сондай-ақ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Біліктілік талаптарына сәйкестігіне тексеру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казино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Ойын автоматтары залдарының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үш жұлдыздан төмен емес санаттағы қонақ үй кешенінде меншік құқығында немесе өзге де заңды негізде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казино қызметін жүзеге асыру үшін 60 000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Ойын автоматтары залының қызметін жүзеге асыру үшін 60000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9" w:id="10"/>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тотализаторлардың,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22" w:id="11"/>
    <w:p>
      <w:pPr>
        <w:spacing w:after="0"/>
        <w:ind w:left="0"/>
        <w:jc w:val="left"/>
      </w:pPr>
      <w:r>
        <w:rPr>
          <w:rFonts w:ascii="Times New Roman"/>
          <w:b/>
          <w:i w:val="false"/>
          <w:color w:val="000000"/>
        </w:rPr>
        <w:t xml:space="preserve"> Біліктілік талаптарына сәйкестігіне тексеру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тотализаторлардың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тотализатордың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букмекерлік кеңселердің қызметін жүзеге асыру үшін 40000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сондай-ақ ойын бизнесін ұйымдастырушының интернет-ресурсында (бар болса) көрнекті жерде орналастырылған букмекерлік кеңсенің жұмысының, ставкаларды қабылдаудың және қазақ және орыс тілдерінде бәс тігудің әзірленген қағидаларының болмауы, олар мынадай мәліметтерді қамтуға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тігуге қатысушыға ұтыс төленуге жататын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10000 айлық есептік көрсеткіш мөлшерінде тотализаторлардың қызметін жүзеге асыру үшін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кассасында, сондай-ақ ойын бизнесін ұйымдастырушының интернет-ресурсында (бар болса) көрнекті жерде орналастырылған, қазақ және орыс тілдерінде тотализатор жұмысының, ставкаларды қабылдаудың және бәс тігудің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тігуді ұйымдастырудағы делдалдығы үшін тотализатордың қызметін жүзеге асыратын ойын бизнесін ұйымдастырушының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жататын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2-қосымша</w:t>
            </w:r>
          </w:p>
        </w:tc>
      </w:tr>
    </w:tbl>
    <w:bookmarkStart w:name="z25" w:id="12"/>
    <w:p>
      <w:pPr>
        <w:spacing w:after="0"/>
        <w:ind w:left="0"/>
        <w:jc w:val="left"/>
      </w:pPr>
      <w:r>
        <w:rPr>
          <w:rFonts w:ascii="Times New Roman"/>
          <w:b/>
          <w:i w:val="false"/>
          <w:color w:val="000000"/>
        </w:rPr>
        <w:t xml:space="preserve">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12"/>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3-қосымша</w:t>
            </w:r>
          </w:p>
        </w:tc>
      </w:tr>
    </w:tbl>
    <w:bookmarkStart w:name="z28" w:id="13"/>
    <w:p>
      <w:pPr>
        <w:spacing w:after="0"/>
        <w:ind w:left="0"/>
        <w:jc w:val="left"/>
      </w:pPr>
      <w:r>
        <w:rPr>
          <w:rFonts w:ascii="Times New Roman"/>
          <w:b/>
          <w:i w:val="false"/>
          <w:color w:val="000000"/>
        </w:rPr>
        <w:t xml:space="preserve">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13"/>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4-қосымша</w:t>
            </w:r>
          </w:p>
        </w:tc>
      </w:tr>
    </w:tbl>
    <w:bookmarkStart w:name="z31" w:id="14"/>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14"/>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касcалары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кеңесесі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ұйымдастырушылармен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ұйымдастырушылармен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ұйымдастырушыларымен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ұйымдастырушыларымен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34" w:id="15"/>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15"/>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касcалары тұрғын үй емес үй-жайларда орналасуы бойынша талаптарды сақтамау.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тотализаторлардың кассаларыy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ат-спорт жарыстары (ат жарыстары, жүгіру) және (немесе) ит жарыстары шеңберінде болып жатқан алдағы нақты оқиғаларға бәс тігуді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міндеттемесін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ұйымдастырушыға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талапты сақтамау.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қазандағы</w:t>
            </w:r>
            <w:r>
              <w:br/>
            </w:r>
            <w:r>
              <w:rPr>
                <w:rFonts w:ascii="Times New Roman"/>
                <w:b w:val="false"/>
                <w:i w:val="false"/>
                <w:color w:val="000000"/>
                <w:sz w:val="20"/>
              </w:rPr>
              <w:t>№ 188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6-қосымша</w:t>
            </w:r>
          </w:p>
        </w:tc>
      </w:tr>
    </w:tbl>
    <w:bookmarkStart w:name="z37" w:id="16"/>
    <w:p>
      <w:pPr>
        <w:spacing w:after="0"/>
        <w:ind w:left="0"/>
        <w:jc w:val="left"/>
      </w:pPr>
      <w:r>
        <w:rPr>
          <w:rFonts w:ascii="Times New Roman"/>
          <w:b/>
          <w:i w:val="false"/>
          <w:color w:val="000000"/>
        </w:rPr>
        <w:t xml:space="preserve">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16"/>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 үй кешенінде меншiк құқығындағы немесе өзге де заңды негіздегі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құқығындағы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тілдеріндегі үлгілер мен номинациялардың, қолданылатын заңдастыру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Қазақстан Республикасы заңнамасының талаптарына сәйкес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бәс тігуге қатысушыға ұтыс төленуге тиісті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тиісті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