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471b" w14:textId="b174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компанияларға жеке күзет ұйымдарын құруға құқық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2024 жылғы 29 қазандағы № 863 бұйрығы. Қазақстан Республикасының Әділет министрлігінде 2024 жылғы 29 қазанда № 35303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"Күзет қызметі туралы" Қазақстан Республикасы Заңының 17-1-бабының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компанияларға жеке күзет ұйымдарын құруға құқық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Күзет қызметін бақылау департаменті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ішкі істер министрдің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Лепеха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компанияларға жеке күзет ұйымдарын құруға құқық беру қағидалары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компанияларға жеке күзет ұйымдарын құруға құқық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"Күзет қызметі туралы" Қазақстан Республикасы Заңының (бұдан әрі – Заң) 17-1-бабының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Күзет ұйымын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ұлттық компаниялар тізбесіне енгізілген жағдайда Ұлттық компания құрады.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Ұлттық компаниялардың күзет ұйымын құру келесі шарттар сақталған кезде жүзеге асырылады: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күзет ұйымы күзет қызметінен өзге де қызметті жүзеге асыратын ұлттық компанияның еншілес ұйымы бола алады;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күзет ұйымының құрылтайшылары (қатысушылары) ұлттық компанияның құрылтайшылары не лауазымды адамдары болып табылады, оларға қатысты құрылатын ұйым күзет қызметтерін көрсететін болады;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құрылатын ұйым өзіне қатысты күзет қызметтерін көрсететін ұлттық компания және онымен үлестес заңды тұлғалар күзет ұйымының құрылтайшысы (қатысушысы) болып табылады.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компаниялардың күзет ұйымдарын құруы Қазақстан Республикасының аумағында күзет қызметін бақылауды жүзеге асыру жөніндегі уәкілетті органмен (бұдан әрі – уәкілетті орган) алдын ала келісіледі.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Күзет ұйымының мекемесін келісу үшін ұлттық компания уәкілетті органға "электрондық үкіметтің" www.egov.kz немесе www.elicense.kz веб-порталы арқылы (бұдан әрі – Портал) мынадай құжаттар жолдайды: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"Күзет қызметі саласындағы мемлекеттік қызмет көрсету қағидаларын бекіту туралы" Қазақстан Республикасы Ішкі істер министрінің 2020 жылғы 28 наурыздағы № 261 бұйрығымен бекітілген "Ұлттық компанияның күзет ұйымын құруға уәкілетті органды келісу" мемлекеттік қызмет көрсету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электрондық цифрлық қолтаңбасымен (бұдан әрі – ЭЦҚ) қол қойылған электрондық құжат нысанындағы өтініш (бұдан әрі – ІІМ-нің № 261 бұйрығы) (Нормативтік құқықтық актілерді мемлекеттік тіркеу тізілімінде № 20224 болып тіркелген);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ұлттық компания құратын қызметтің жарғылық түрлерін кеңейтуге және (немесе) өзгертуге күзет ұйымын құруға монополияға қарсы органның алдын ала келісімін растайтын құжаттың электрондық көшірмесі;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өтініш берушінің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шарттарға сәйкестігін растайтын құрылтай құжаттарының көшірмелері;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құрылатын күзет ұйымын күзетке беруге жоспарланатын объектілердің (атауы, орналасқан жері), оның ішінде еншілес ұйымдардың объектілерінің тізбесі.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Уәкілетті орган құжаттарды ұсынған күннен бастап жиырма жұмыс күні ішінде оларды ІІМ-нің № 261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қарайды, содан кейін ұлттық компанияға күзет ұйымын құруға келісуді немесе көрсетілетін қызметті берушінің уәкілетті адамының ЭЦҚ қойылған электрондық құжат нысанында дәлелді бас тартуды жібереді.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компания күзет ұйымын құрудан бас тартуға негіз болып табылады: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берушінің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келмеуі;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ұсынылған құжаттардағы шынайы емес мәліметтерді анықтау;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Күзет ұйымын құрудан бас тартылған жағдайда ұлттық компания анықталған ескертулер жойылғаннан кейін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уәкілетті органға қайта ұсынады.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Күзет ұйымын құруға келісу хатын алғаннан кейін ұлттық компания ІІМ 261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"Күзет қызметімен айналысу құқығына лицензия беру" мемлекеттік қызмет көрсету қағидаларына сәйкес күзет қызметін жүзеге асыру құқығына мемлекеттік лицензия алу үшін тіркелген жері бойынша аумақтық полиция органына жүгінеді.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Уәкілетті органның шешімдеріне, әрекеттеріне (әрекетсіздігіне) шағымдану тәртібі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