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9c92" w14:textId="3d09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операторына қатысты Қазақстан Республикасының лотерея және лотерея қызметі туралы заңнаманы сақтаудағы тәуекел дәрежесін бағалау өлшемшарттарын және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8 қазандағы № 173 және Қазақстан Республикасы Премьер-Министрінің орынбасары - Ұлттық экономика министрінің 2024 жылғы 10 қазандағы № 87 бірлескен бұйрығы. Қазақстан Республикасының Әділет министрлігінде 2024 жылғы 14 қазанда № 35255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"Лотерея операторына қатысты Қазақстан Республикасының лотерея және лотерея қызметі туралы заңнаманы сақтаудағы тәуекел дәрежесін бағалау өлшемшарттарын және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14142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бектітілген лотерея және лотерея қызметінің операторына арналған Қазақстан Республикасының лотерея және лотерея қызметі туралы заңнаманы сақтаудағы тәуекел дәрежесін бағалаудың </w:t>
      </w:r>
      <w:r>
        <w:rPr>
          <w:rFonts w:ascii="Times New Roman"/>
          <w:b w:val="false"/>
          <w:i w:val="false"/>
          <w:color w:val="000000"/>
          <w:sz w:val="28"/>
        </w:rPr>
        <w:t>өлшемшарттары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өлшемшарттарда</w:t>
      </w:r>
      <w:r>
        <w:rPr>
          <w:rFonts w:ascii="Times New Roman"/>
          <w:b w:val="false"/>
          <w:i w:val="false"/>
          <w:color w:val="000000"/>
          <w:sz w:val="28"/>
        </w:rPr>
        <w:t xml:space="preserve"> мынадай ұғымдар пайдаланылады:</w:t>
      </w:r>
    </w:p>
    <w:p>
      <w:pPr>
        <w:spacing w:after="0"/>
        <w:ind w:left="0"/>
        <w:jc w:val="both"/>
      </w:pPr>
      <w:r>
        <w:rPr>
          <w:rFonts w:ascii="Times New Roman"/>
          <w:b w:val="false"/>
          <w:i w:val="false"/>
          <w:color w:val="000000"/>
          <w:sz w:val="28"/>
        </w:rPr>
        <w:t>
      1) бақылау субъектісі – қызметін бақылау жүзеге асырылатын, лотереяларды өткізу жөніндегі қызметті жүзеге асыратын лотерея және лотерея қызметі саласындағы уәкілетті орган айқындайтын заңды тұлға;</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бұзушылықтар – Қазақстан Республикасының лотереялар және лотерея қызметі туралы заңнамасының талаптарын бұзушылықтар, оларды сақтамау жеке және заңды тұлғалардың, мемлекеттің заңды мүдделеріне қатер төндірмейді;</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Қазақстан Республикасының лотереялар және лотерея қызметі туралы заңнамасының талаптарын бұзу, оларды сақтамау жеке және заңды тұлғалардың, мемлекеттің заңды мүдделеріне елеулі қатер төндірмейді;</w:t>
      </w:r>
    </w:p>
    <w:p>
      <w:pPr>
        <w:spacing w:after="0"/>
        <w:ind w:left="0"/>
        <w:jc w:val="both"/>
      </w:pPr>
      <w:r>
        <w:rPr>
          <w:rFonts w:ascii="Times New Roman"/>
          <w:b w:val="false"/>
          <w:i w:val="false"/>
          <w:color w:val="000000"/>
          <w:sz w:val="28"/>
        </w:rPr>
        <w:t>
      6) өрескел бұзушылықтар –жеке және заңды тұлғалардың, мемлекеттің құқықтарының, заңды мүдделерінің елеулі бұзылуына әкеп соғуы мүмкін Қазақстан Республикасының лотереялар және лотерея қызметі туралы заңнамасының талаптарын бұзу;</w:t>
      </w:r>
    </w:p>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жеке бақылау субъектісіне (объектісіне) тікелей тәуелді болмайтын тәуекел дәрежесіне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субъектісін бақылау субъектісіне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(объектілерінің) біртекті тобына жататын,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1-қосымшасында</w:t>
      </w:r>
      <w:r>
        <w:rPr>
          <w:rFonts w:ascii="Times New Roman"/>
          <w:b w:val="false"/>
          <w:i w:val="false"/>
          <w:color w:val="000000"/>
          <w:sz w:val="28"/>
        </w:rPr>
        <w:t xml:space="preserve"> Қазақстан Республикасының лотереялар және лотерея қызметі туралы заңнамасының сақталуына тәуекел дәрежесін бағалау өлшемшарттарына:</w:t>
      </w:r>
    </w:p>
    <w:bookmarkStart w:name="z7" w:id="1"/>
    <w:p>
      <w:pPr>
        <w:spacing w:after="0"/>
        <w:ind w:left="0"/>
        <w:jc w:val="both"/>
      </w:pPr>
      <w:r>
        <w:rPr>
          <w:rFonts w:ascii="Times New Roman"/>
          <w:b w:val="false"/>
          <w:i w:val="false"/>
          <w:color w:val="000000"/>
          <w:sz w:val="28"/>
        </w:rPr>
        <w:t>
      реттiк нөмiрлері 1 және 2-жолдар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таратылған (іске асырылған)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қамтамасыз ету жөніндегі талаптарды сақтамауы және оны айына кемінде бір рет лотерея ақпаратын өңдеу орталығы арқылы лотерея есептілігі орталығына табыс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тапсырма шартының талаптарында тек қана он сегіз жасқа толған жеке тұлғалар арасында лотерея билеттерін, электрондық лотерея билеттерін тарату (іске асыру) бойынша лотерея таратушының (агенттің) міндеттемесінің болуы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реттiк нөмiрі 4-жол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өткізу және лотереяға қатысушы сатып алған лотерея билетінің, электрондық лотерея билетінің негізінде ұтысты төлеу жөніндегі шарттарын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реттiк нөмiрі 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таратушымен (агентпен), атап айтқанда жеке кәсіпкермен немесе лотерея билеттерін, электрондық лотерея билеттерін сыйақы үшін таратуды (өткізуді), ұтыс лотерея билеттерін, электрондық лотерея билеттерді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реттiк нөмiрі 14-жол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тәсіліне, аумағына және технологиясына, сондай-ақ жүлде қорын қалыптастыру тәсіліне нұсқау;</w:t>
            </w:r>
          </w:p>
          <w:p>
            <w:pPr>
              <w:spacing w:after="20"/>
              <w:ind w:left="20"/>
              <w:jc w:val="both"/>
            </w:pPr>
            <w:r>
              <w:rPr>
                <w:rFonts w:ascii="Times New Roman"/>
                <w:b w:val="false"/>
                <w:i w:val="false"/>
                <w:color w:val="000000"/>
                <w:sz w:val="20"/>
              </w:rPr>
              <w:t>
3) лотерея операторының атауы оның орналасқан жері, банктік деректемелері, бизнес-сәйкестендіру нөмірі көрсетілуімен;</w:t>
            </w:r>
          </w:p>
          <w:p>
            <w:pPr>
              <w:spacing w:after="20"/>
              <w:ind w:left="20"/>
              <w:jc w:val="both"/>
            </w:pPr>
            <w:r>
              <w:rPr>
                <w:rFonts w:ascii="Times New Roman"/>
                <w:b w:val="false"/>
                <w:i w:val="false"/>
                <w:color w:val="000000"/>
                <w:sz w:val="20"/>
              </w:rPr>
              <w:t>
4) лотерея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ұтыс деп танылған лотереяға қатысушыға ұтысты төлеу тәртібі мен мерзімдері, сондай-ақ ұтыс лотерея билеттеріне, электрондық лотерея билеттеріне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электрондық лотерея билеттерін тарату (жүзеге асыру) тәртібі;</w:t>
            </w:r>
          </w:p>
          <w:p>
            <w:pPr>
              <w:spacing w:after="20"/>
              <w:ind w:left="20"/>
              <w:jc w:val="both"/>
            </w:pPr>
            <w:r>
              <w:rPr>
                <w:rFonts w:ascii="Times New Roman"/>
                <w:b w:val="false"/>
                <w:i w:val="false"/>
                <w:color w:val="000000"/>
                <w:sz w:val="20"/>
              </w:rPr>
              <w:t>
11) лотерея билетінің, электрондық лотерея билетінің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13) жүлде қорының жоспарланып отырған мөлшері;</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қалыптастыру мен ұтысқа салу қағидалары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реттiк нөмiрі 16 -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сатылған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реттiк нөмiрлері 22, 23, 24 және 25-жолдар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 қоспағанда,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нөмірі;</w:t>
            </w:r>
          </w:p>
          <w:p>
            <w:pPr>
              <w:spacing w:after="20"/>
              <w:ind w:left="20"/>
              <w:jc w:val="both"/>
            </w:pPr>
            <w:r>
              <w:rPr>
                <w:rFonts w:ascii="Times New Roman"/>
                <w:b w:val="false"/>
                <w:i w:val="false"/>
                <w:color w:val="000000"/>
                <w:sz w:val="20"/>
              </w:rPr>
              <w:t>
5) лотерея билетінің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электрондық лотерея билетінің нөмірі;</w:t>
            </w:r>
          </w:p>
          <w:p>
            <w:pPr>
              <w:spacing w:after="20"/>
              <w:ind w:left="20"/>
              <w:jc w:val="both"/>
            </w:pPr>
            <w:r>
              <w:rPr>
                <w:rFonts w:ascii="Times New Roman"/>
                <w:b w:val="false"/>
                <w:i w:val="false"/>
                <w:color w:val="000000"/>
                <w:sz w:val="20"/>
              </w:rPr>
              <w:t>
3) электрондық лотерея билетінің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билеттерінде, электрондық лотерея билеттерінде қамтылған ақпараттың орфография және түпнұсқалық аударма нормаларының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Ұтысты анықтау мақсатында лотереяға қатысушы өзінің лотерея билетіндегі, электрондық лотерея билетіндегі лотерея комбинациясымен салыстыруға тиіс тираждық лотереясының жүлде қорын лотерея жабдығымен ұтыс ойынын кездейсоқ түрде ұтып алған лотерея комбинациясын генерациялау жолымен жүзеге асыру бойынша лотерея операторымен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реттiк нөмiрі 28-жол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жүлде қорының әрбір ұтыс ойынының және лотерея билеттері, тираждық лотереяның электрондық лотерея билеттері бойынша ұтыстарының нәтижелерін Қазақстан Республикасының бүкіл аумағында таратылатын мерзімді баспасөз басылымдарында үш жұмыс күні ішінде жариялау немесе лотерея операторының интернет-ресурсында көрсетілген ұтыс ойыны өткізілген сәттен бастап он екі сағат ішінде орналастыру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реттiк нөмiрі 30-жол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 міндеттерін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мынадай мазмұндағы реттiк нөмiрлерi 41 және 42-жолдармен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және лотерея қызметі саласындағы уәкілетті органмен лотерея өткізу жөніндегі келісу шарттарын, оған Қазақстан Республикасының лотереялар және лотерея қызметі туралы заңнамасына сәйкес өзгерістер мен толықтыруларды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 тарату (жүзеге асыру) және лотерея терминалдарын орнату жөніндегі талапты сақтамауы.</w:t>
            </w:r>
          </w:p>
          <w:p>
            <w:pPr>
              <w:spacing w:after="20"/>
              <w:ind w:left="20"/>
              <w:jc w:val="both"/>
            </w:pPr>
            <w:r>
              <w:rPr>
                <w:rFonts w:ascii="Times New Roman"/>
                <w:b w:val="false"/>
                <w:i w:val="false"/>
                <w:color w:val="000000"/>
                <w:sz w:val="20"/>
              </w:rPr>
              <w:t>
Мыналарда:</w:t>
            </w:r>
          </w:p>
          <w:p>
            <w:pPr>
              <w:spacing w:after="20"/>
              <w:ind w:left="20"/>
              <w:jc w:val="both"/>
            </w:pPr>
            <w:r>
              <w:rPr>
                <w:rFonts w:ascii="Times New Roman"/>
                <w:b w:val="false"/>
                <w:i w:val="false"/>
                <w:color w:val="000000"/>
                <w:sz w:val="20"/>
              </w:rPr>
              <w:t>
1) көппәтерлі тұрғын үйлерде, жатақханаларда;</w:t>
            </w:r>
          </w:p>
          <w:p>
            <w:pPr>
              <w:spacing w:after="20"/>
              <w:ind w:left="20"/>
              <w:jc w:val="both"/>
            </w:pPr>
            <w:r>
              <w:rPr>
                <w:rFonts w:ascii="Times New Roman"/>
                <w:b w:val="false"/>
                <w:i w:val="false"/>
                <w:color w:val="000000"/>
                <w:sz w:val="20"/>
              </w:rPr>
              <w:t>
2) білім беру ұйымдарында және олардан бір жүз метр радиуста;</w:t>
            </w:r>
          </w:p>
          <w:p>
            <w:pPr>
              <w:spacing w:after="20"/>
              <w:ind w:left="20"/>
              <w:jc w:val="both"/>
            </w:pPr>
            <w:r>
              <w:rPr>
                <w:rFonts w:ascii="Times New Roman"/>
                <w:b w:val="false"/>
                <w:i w:val="false"/>
                <w:color w:val="000000"/>
                <w:sz w:val="20"/>
              </w:rPr>
              <w:t>
3) денсаулық сақтау ұйымдарында және олардан бір жүз метр радиуста;</w:t>
            </w:r>
          </w:p>
          <w:p>
            <w:pPr>
              <w:spacing w:after="20"/>
              <w:ind w:left="20"/>
              <w:jc w:val="both"/>
            </w:pPr>
            <w:r>
              <w:rPr>
                <w:rFonts w:ascii="Times New Roman"/>
                <w:b w:val="false"/>
                <w:i w:val="false"/>
                <w:color w:val="000000"/>
                <w:sz w:val="20"/>
              </w:rPr>
              <w:t>
4) ғибадат ғимараттарында (құрылысжайларында);</w:t>
            </w:r>
          </w:p>
          <w:p>
            <w:pPr>
              <w:spacing w:after="20"/>
              <w:ind w:left="20"/>
              <w:jc w:val="both"/>
            </w:pPr>
            <w:r>
              <w:rPr>
                <w:rFonts w:ascii="Times New Roman"/>
                <w:b w:val="false"/>
                <w:i w:val="false"/>
                <w:color w:val="000000"/>
                <w:sz w:val="20"/>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2-қосымшасына</w:t>
      </w:r>
      <w:r>
        <w:rPr>
          <w:rFonts w:ascii="Times New Roman"/>
          <w:b w:val="false"/>
          <w:i w:val="false"/>
          <w:color w:val="000000"/>
          <w:sz w:val="28"/>
        </w:rPr>
        <w:t xml:space="preserve"> сәйкес лотерея операторына қатысты Қазақстан Республикасының лотереялар және лотерея қызметі туралы заңнамасын сақтаудың тексеру парағында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bookmarkStart w:name="z17" w:id="10"/>
    <w:p>
      <w:pPr>
        <w:spacing w:after="0"/>
        <w:ind w:left="0"/>
        <w:jc w:val="both"/>
      </w:pPr>
      <w:r>
        <w:rPr>
          <w:rFonts w:ascii="Times New Roman"/>
          <w:b w:val="false"/>
          <w:i w:val="false"/>
          <w:color w:val="000000"/>
          <w:sz w:val="28"/>
        </w:rPr>
        <w:t>
      реттiк нөмiрі 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тапсырма шартының талаптарында тек қана он сегіз жасқа толған жеке тұлғалар арасында лотерея билеттерін, электрондық лотерея билеттерін тарату (іске асыру) бойынша лотерея таратушының (агенттің) міндеттемесінің болуы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реттiк нөмiрі 3-жол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өткізу және лотереяға қатысушы сатып алған лотерея билетінің, электрондық лотерея билетінің негізінде ұтысты төлеу жөніндегі шарттарын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реттiк нөмiрі 8-жол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таратушымен (агентпен), атап айтқанда жеке кәсіпкермен немесе лотерея билеттерін, электрондық лотерея билеттерін сыйақы үшін таратуды (өткізуді), ұтыс лотерея билеттерін, электрондық лотерея билеттерді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реттiк нөмiрі 13-жол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тәсіліне, аумағына және технологиясына, сондай-ақ жүлде қорын қалыптастыру тәсіліне нұсқау;</w:t>
            </w:r>
          </w:p>
          <w:p>
            <w:pPr>
              <w:spacing w:after="20"/>
              <w:ind w:left="20"/>
              <w:jc w:val="both"/>
            </w:pPr>
            <w:r>
              <w:rPr>
                <w:rFonts w:ascii="Times New Roman"/>
                <w:b w:val="false"/>
                <w:i w:val="false"/>
                <w:color w:val="000000"/>
                <w:sz w:val="20"/>
              </w:rPr>
              <w:t>
3) лотерея операторының атауы оның орналасқан жері, банктік деректемелері, бизнес-сәйкестендіру нөмірі көрсетілуімен;</w:t>
            </w:r>
          </w:p>
          <w:p>
            <w:pPr>
              <w:spacing w:after="20"/>
              <w:ind w:left="20"/>
              <w:jc w:val="both"/>
            </w:pPr>
            <w:r>
              <w:rPr>
                <w:rFonts w:ascii="Times New Roman"/>
                <w:b w:val="false"/>
                <w:i w:val="false"/>
                <w:color w:val="000000"/>
                <w:sz w:val="20"/>
              </w:rPr>
              <w:t>
4) лотерея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ұтыс деп танылған лотереяға қатысушыға ұтысты төлеу тәртібі мен мерзімдері, сондай-ақ ұтыс лотерея билеттеріне, электрондық лотерея билеттеріне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электрондық лотерея билеттерін тарату (жүзеге асыру) тәртібі;</w:t>
            </w:r>
          </w:p>
          <w:p>
            <w:pPr>
              <w:spacing w:after="20"/>
              <w:ind w:left="20"/>
              <w:jc w:val="both"/>
            </w:pPr>
            <w:r>
              <w:rPr>
                <w:rFonts w:ascii="Times New Roman"/>
                <w:b w:val="false"/>
                <w:i w:val="false"/>
                <w:color w:val="000000"/>
                <w:sz w:val="20"/>
              </w:rPr>
              <w:t>
11) лотерея билетінің, электрондық лотерея билетінің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13) жүлде қорының жоспарланып отырған мөлшері;</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қалыптастыру мен ұтысқа салу қағидалары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реттiк нөмiрі 15-жол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сатылған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реттiк нөмiрлері 21, 22, 23 және 24-жолдар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 қоспағанда,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нөмірі;</w:t>
            </w:r>
          </w:p>
          <w:p>
            <w:pPr>
              <w:spacing w:after="20"/>
              <w:ind w:left="20"/>
              <w:jc w:val="both"/>
            </w:pPr>
            <w:r>
              <w:rPr>
                <w:rFonts w:ascii="Times New Roman"/>
                <w:b w:val="false"/>
                <w:i w:val="false"/>
                <w:color w:val="000000"/>
                <w:sz w:val="20"/>
              </w:rPr>
              <w:t>
5) лотерея билетінің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электрондық лотерея билетінің нөмірі;</w:t>
            </w:r>
          </w:p>
          <w:p>
            <w:pPr>
              <w:spacing w:after="20"/>
              <w:ind w:left="20"/>
              <w:jc w:val="both"/>
            </w:pPr>
            <w:r>
              <w:rPr>
                <w:rFonts w:ascii="Times New Roman"/>
                <w:b w:val="false"/>
                <w:i w:val="false"/>
                <w:color w:val="000000"/>
                <w:sz w:val="20"/>
              </w:rPr>
              <w:t>
3) электрондық лотерея билетінің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билеттерінде, электрондық лотерея билеттерінде қамтылған ақпараттың орфография және түпнұсқалық аударма нормаларының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Ұтысты анықтау мақсатында лотереяға қатысушы өзінің лотерея билетіндегі, электрондық лотерея билетіндегі лотерея комбинациясымен салыстыруға тиіс тираждық лотереясының жүлде қорын лотерея жабдығымен ұтыс ойынын кездейсоқ түрде ұтып алған лотерея комбинациясын генерациялау жолымен жүзеге асыру бойынша лотерея операторымен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реттiк нөмiрі 27-жол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жүлде қорының әрбір ұтыс ойынының және лотерея билеттері, тираждық лотереяның электрондық лотерея билеттері бойынша ұтыстарының нәтижелерін Қазақстан Республикасының бүкіл аумағында таратылатын мерзімді баспасөз басылымдарында үш жұмыс күні ішінде жариялау немесе лотерея операторының интернет-ресурсында көрсетілген ұтыс ойыны өткізілген сәттен бастап он екі сағат ішінде орналастыру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реттiк нөмiрі 29-жол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 міндеттерін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мынадай мазмұндағы реттiк нөмiрлерi 40, 41 және 42-жолдармен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таратылған (іске асырылған)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қамтамасыз ету жөніндегі талаптарды сақтамауы және оны айына кемінде бір рет лотерея ақпаратын өңдеу орталығы арқылы лотерея есептілігі орталығына табыс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және лотерея қызметі саласындағы уәкілетті органмен лотерея өткізу жөніндегі келісу шарттарын, оған Қазақстан Республикасының лотереялар және лотерея қызметі туралы заңнамасына сәйкес өзгерістер мен толықтыруларды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 тарату (жүзеге асыру) және лотерея терминалдарын орнату жөніндегі талапты сақтамауы.</w:t>
            </w:r>
          </w:p>
          <w:p>
            <w:pPr>
              <w:spacing w:after="20"/>
              <w:ind w:left="20"/>
              <w:jc w:val="both"/>
            </w:pPr>
            <w:r>
              <w:rPr>
                <w:rFonts w:ascii="Times New Roman"/>
                <w:b w:val="false"/>
                <w:i w:val="false"/>
                <w:color w:val="000000"/>
                <w:sz w:val="20"/>
              </w:rPr>
              <w:t>
Мыналарда:</w:t>
            </w:r>
          </w:p>
          <w:p>
            <w:pPr>
              <w:spacing w:after="20"/>
              <w:ind w:left="20"/>
              <w:jc w:val="both"/>
            </w:pPr>
            <w:r>
              <w:rPr>
                <w:rFonts w:ascii="Times New Roman"/>
                <w:b w:val="false"/>
                <w:i w:val="false"/>
                <w:color w:val="000000"/>
                <w:sz w:val="20"/>
              </w:rPr>
              <w:t>
1) көппәтерлі тұрғын үйлерде, жатақханаларда;</w:t>
            </w:r>
          </w:p>
          <w:p>
            <w:pPr>
              <w:spacing w:after="20"/>
              <w:ind w:left="20"/>
              <w:jc w:val="both"/>
            </w:pPr>
            <w:r>
              <w:rPr>
                <w:rFonts w:ascii="Times New Roman"/>
                <w:b w:val="false"/>
                <w:i w:val="false"/>
                <w:color w:val="000000"/>
                <w:sz w:val="20"/>
              </w:rPr>
              <w:t>
2) білім беру ұйымдарында және олардан бір жүз метр радиуста;</w:t>
            </w:r>
          </w:p>
          <w:p>
            <w:pPr>
              <w:spacing w:after="20"/>
              <w:ind w:left="20"/>
              <w:jc w:val="both"/>
            </w:pPr>
            <w:r>
              <w:rPr>
                <w:rFonts w:ascii="Times New Roman"/>
                <w:b w:val="false"/>
                <w:i w:val="false"/>
                <w:color w:val="000000"/>
                <w:sz w:val="20"/>
              </w:rPr>
              <w:t>
3) денсаулық сақтау ұйымдарында және олардан бір жүз метр радиуста;</w:t>
            </w:r>
          </w:p>
          <w:p>
            <w:pPr>
              <w:spacing w:after="20"/>
              <w:ind w:left="20"/>
              <w:jc w:val="both"/>
            </w:pPr>
            <w:r>
              <w:rPr>
                <w:rFonts w:ascii="Times New Roman"/>
                <w:b w:val="false"/>
                <w:i w:val="false"/>
                <w:color w:val="000000"/>
                <w:sz w:val="20"/>
              </w:rPr>
              <w:t>
4) ғибадат ғимараттарында (құрылысжайларында);</w:t>
            </w:r>
          </w:p>
          <w:p>
            <w:pPr>
              <w:spacing w:after="20"/>
              <w:ind w:left="20"/>
              <w:jc w:val="both"/>
            </w:pPr>
            <w:r>
              <w:rPr>
                <w:rFonts w:ascii="Times New Roman"/>
                <w:b w:val="false"/>
                <w:i w:val="false"/>
                <w:color w:val="000000"/>
                <w:sz w:val="20"/>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заңнамамен белгіленген тәртіппен:</w:t>
      </w:r>
    </w:p>
    <w:bookmarkEnd w:id="19"/>
    <w:bookmarkStart w:name="z27" w:id="2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0"/>
    <w:bookmarkStart w:name="z28" w:id="21"/>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21"/>
    <w:bookmarkStart w:name="z29" w:id="22"/>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22"/>
    <w:bookmarkStart w:name="z30" w:id="2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туризм және спорт министрінің орынбасарына жүктелсін.</w:t>
      </w:r>
    </w:p>
    <w:bookmarkEnd w:id="23"/>
    <w:bookmarkStart w:name="z31" w:id="2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